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47810" w14:textId="77777777" w:rsidR="003E7E84" w:rsidRDefault="003E7E84" w:rsidP="003E7E84">
      <w:pPr>
        <w:pStyle w:val="Default"/>
      </w:pPr>
    </w:p>
    <w:p w14:paraId="43A8EE18" w14:textId="2822CA04" w:rsidR="00F22B4D" w:rsidRDefault="005C362F" w:rsidP="00AA13A5">
      <w:pPr>
        <w:jc w:val="center"/>
        <w:rPr>
          <w:rFonts w:ascii="Arial" w:eastAsiaTheme="minorHAnsi" w:hAnsi="Arial" w:cs="Arial"/>
          <w:b/>
          <w:bCs/>
          <w:color w:val="000000"/>
          <w:sz w:val="40"/>
          <w:szCs w:val="40"/>
          <w:lang w:eastAsia="en-US"/>
        </w:rPr>
      </w:pPr>
      <w:r>
        <w:rPr>
          <w:rFonts w:ascii="Arial" w:eastAsiaTheme="minorHAnsi" w:hAnsi="Arial" w:cs="Arial"/>
          <w:b/>
          <w:bCs/>
          <w:color w:val="000000"/>
          <w:sz w:val="40"/>
          <w:szCs w:val="40"/>
          <w:lang w:eastAsia="en-US"/>
        </w:rPr>
        <w:t>Solicitor and Curator ad litem</w:t>
      </w:r>
      <w:r w:rsidR="00F22B4D" w:rsidRPr="00F22B4D">
        <w:rPr>
          <w:rFonts w:ascii="Arial" w:eastAsiaTheme="minorHAnsi" w:hAnsi="Arial" w:cs="Arial"/>
          <w:b/>
          <w:bCs/>
          <w:color w:val="000000"/>
          <w:sz w:val="40"/>
          <w:szCs w:val="40"/>
          <w:lang w:eastAsia="en-US"/>
        </w:rPr>
        <w:t xml:space="preserve"> Forum </w:t>
      </w:r>
    </w:p>
    <w:p w14:paraId="2EB273CD" w14:textId="79F226D0" w:rsidR="00AA13A5" w:rsidRPr="00450EFB" w:rsidRDefault="005C362F" w:rsidP="00AA13A5">
      <w:pPr>
        <w:jc w:val="center"/>
        <w:rPr>
          <w:rFonts w:ascii="Arial" w:hAnsi="Arial" w:cs="Arial"/>
          <w:b/>
          <w:sz w:val="28"/>
          <w:szCs w:val="32"/>
        </w:rPr>
      </w:pPr>
      <w:r>
        <w:rPr>
          <w:rFonts w:ascii="Arial" w:hAnsi="Arial" w:cs="Arial"/>
          <w:b/>
          <w:sz w:val="28"/>
          <w:szCs w:val="32"/>
        </w:rPr>
        <w:t>1</w:t>
      </w:r>
      <w:r w:rsidR="00360994">
        <w:rPr>
          <w:rFonts w:ascii="Arial" w:hAnsi="Arial" w:cs="Arial"/>
          <w:b/>
          <w:sz w:val="28"/>
          <w:szCs w:val="32"/>
        </w:rPr>
        <w:t>9</w:t>
      </w:r>
      <w:r>
        <w:rPr>
          <w:rFonts w:ascii="Arial" w:hAnsi="Arial" w:cs="Arial"/>
          <w:b/>
          <w:sz w:val="28"/>
          <w:szCs w:val="32"/>
        </w:rPr>
        <w:t xml:space="preserve"> June 202</w:t>
      </w:r>
      <w:r w:rsidR="00EF758A">
        <w:rPr>
          <w:rFonts w:ascii="Arial" w:hAnsi="Arial" w:cs="Arial"/>
          <w:b/>
          <w:sz w:val="28"/>
          <w:szCs w:val="32"/>
        </w:rPr>
        <w:t>4</w:t>
      </w:r>
      <w:bookmarkStart w:id="0" w:name="_GoBack"/>
      <w:bookmarkEnd w:id="0"/>
      <w:r>
        <w:rPr>
          <w:rFonts w:ascii="Arial" w:hAnsi="Arial" w:cs="Arial"/>
          <w:b/>
          <w:sz w:val="28"/>
          <w:szCs w:val="32"/>
        </w:rPr>
        <w:t xml:space="preserve"> 16:00-17:00</w:t>
      </w:r>
      <w:r w:rsidR="00AA13A5">
        <w:rPr>
          <w:rFonts w:ascii="Arial" w:hAnsi="Arial" w:cs="Arial"/>
          <w:b/>
          <w:sz w:val="28"/>
          <w:szCs w:val="32"/>
        </w:rPr>
        <w:t xml:space="preserve"> </w:t>
      </w:r>
      <w:r w:rsidR="00AA13A5" w:rsidRPr="00450EFB">
        <w:rPr>
          <w:rFonts w:ascii="Arial" w:hAnsi="Arial" w:cs="Arial"/>
          <w:b/>
          <w:sz w:val="28"/>
          <w:szCs w:val="32"/>
        </w:rPr>
        <w:t xml:space="preserve">via </w:t>
      </w:r>
      <w:proofErr w:type="spellStart"/>
      <w:r w:rsidR="00AA13A5">
        <w:rPr>
          <w:rFonts w:ascii="Arial" w:hAnsi="Arial" w:cs="Arial"/>
          <w:b/>
          <w:sz w:val="28"/>
          <w:szCs w:val="32"/>
        </w:rPr>
        <w:t>Webex</w:t>
      </w:r>
      <w:proofErr w:type="spellEnd"/>
      <w:r w:rsidR="00AA13A5">
        <w:rPr>
          <w:rFonts w:ascii="Arial" w:hAnsi="Arial" w:cs="Arial"/>
          <w:b/>
          <w:sz w:val="28"/>
          <w:szCs w:val="32"/>
        </w:rPr>
        <w:t xml:space="preserve"> </w:t>
      </w:r>
      <w:r w:rsidR="00AA13A5" w:rsidRPr="00450EFB">
        <w:rPr>
          <w:rFonts w:ascii="Arial" w:hAnsi="Arial" w:cs="Arial"/>
          <w:b/>
          <w:sz w:val="28"/>
          <w:szCs w:val="32"/>
        </w:rPr>
        <w:t>video-conference</w:t>
      </w:r>
    </w:p>
    <w:p w14:paraId="0F115771" w14:textId="232210A4" w:rsidR="00AA13A5" w:rsidRPr="00450EFB" w:rsidRDefault="00AA13A5" w:rsidP="00AA13A5">
      <w:pPr>
        <w:jc w:val="center"/>
        <w:rPr>
          <w:rFonts w:ascii="Arial" w:hAnsi="Arial" w:cs="Arial"/>
          <w:b/>
          <w:sz w:val="28"/>
          <w:szCs w:val="32"/>
        </w:rPr>
      </w:pPr>
      <w:r w:rsidRPr="00450EFB">
        <w:rPr>
          <w:rFonts w:ascii="Arial" w:hAnsi="Arial" w:cs="Arial"/>
          <w:b/>
          <w:sz w:val="28"/>
          <w:szCs w:val="32"/>
        </w:rPr>
        <w:t xml:space="preserve">Chaired by </w:t>
      </w:r>
      <w:r w:rsidR="005C362F">
        <w:rPr>
          <w:rFonts w:ascii="Arial" w:hAnsi="Arial" w:cs="Arial"/>
          <w:b/>
          <w:sz w:val="28"/>
          <w:szCs w:val="32"/>
        </w:rPr>
        <w:t>Deirdre Hanlon</w:t>
      </w:r>
      <w:r w:rsidRPr="00450EFB">
        <w:rPr>
          <w:rFonts w:ascii="Arial" w:hAnsi="Arial" w:cs="Arial"/>
          <w:b/>
          <w:sz w:val="28"/>
          <w:szCs w:val="32"/>
        </w:rPr>
        <w:t>, In-house Convener</w:t>
      </w:r>
    </w:p>
    <w:p w14:paraId="275446F8" w14:textId="77777777" w:rsidR="00AA13A5" w:rsidRPr="00AD5047" w:rsidRDefault="00AD5047" w:rsidP="00AA13A5">
      <w:pPr>
        <w:pStyle w:val="Default"/>
        <w:jc w:val="center"/>
        <w:rPr>
          <w:b/>
          <w:sz w:val="23"/>
          <w:szCs w:val="23"/>
        </w:rPr>
      </w:pPr>
      <w:r w:rsidRPr="00AD5047">
        <w:rPr>
          <w:b/>
          <w:sz w:val="23"/>
          <w:szCs w:val="23"/>
        </w:rPr>
        <w:t>Minute</w:t>
      </w:r>
    </w:p>
    <w:p w14:paraId="6733656B" w14:textId="77777777" w:rsidR="003E7E84" w:rsidRPr="0012387F" w:rsidRDefault="003E7E84" w:rsidP="003E7E84">
      <w:pPr>
        <w:pStyle w:val="Default"/>
        <w:rPr>
          <w:sz w:val="23"/>
          <w:szCs w:val="23"/>
          <w:u w:val="single"/>
        </w:rPr>
      </w:pPr>
      <w:r w:rsidRPr="0012387F">
        <w:rPr>
          <w:sz w:val="23"/>
          <w:szCs w:val="23"/>
          <w:u w:val="single"/>
        </w:rPr>
        <w:t xml:space="preserve">Attendees </w:t>
      </w:r>
    </w:p>
    <w:p w14:paraId="39C6A518" w14:textId="249A5BB2" w:rsidR="000A62FE" w:rsidRPr="00925F1E" w:rsidRDefault="003E7E84" w:rsidP="009A613F">
      <w:pPr>
        <w:pStyle w:val="Default"/>
        <w:rPr>
          <w:sz w:val="23"/>
          <w:szCs w:val="23"/>
        </w:rPr>
      </w:pPr>
      <w:r w:rsidRPr="00925F1E">
        <w:rPr>
          <w:bCs/>
          <w:sz w:val="23"/>
          <w:szCs w:val="23"/>
        </w:rPr>
        <w:t xml:space="preserve">MHTS </w:t>
      </w:r>
      <w:r w:rsidR="00925F1E">
        <w:rPr>
          <w:bCs/>
          <w:sz w:val="23"/>
          <w:szCs w:val="23"/>
        </w:rPr>
        <w:tab/>
      </w:r>
      <w:r w:rsidR="00925F1E">
        <w:rPr>
          <w:bCs/>
          <w:sz w:val="23"/>
          <w:szCs w:val="23"/>
        </w:rPr>
        <w:tab/>
      </w:r>
      <w:r w:rsidR="00925F1E">
        <w:rPr>
          <w:bCs/>
          <w:sz w:val="23"/>
          <w:szCs w:val="23"/>
        </w:rPr>
        <w:tab/>
      </w:r>
      <w:r w:rsidR="005C362F">
        <w:rPr>
          <w:bCs/>
          <w:sz w:val="23"/>
          <w:szCs w:val="23"/>
        </w:rPr>
        <w:t>Deirdre Hanlon</w:t>
      </w:r>
      <w:r w:rsidR="00B4434D">
        <w:rPr>
          <w:bCs/>
          <w:sz w:val="23"/>
          <w:szCs w:val="23"/>
        </w:rPr>
        <w:t xml:space="preserve"> (CG</w:t>
      </w:r>
      <w:r w:rsidR="0012387F">
        <w:rPr>
          <w:sz w:val="23"/>
          <w:szCs w:val="23"/>
        </w:rPr>
        <w:t>) (In-house c</w:t>
      </w:r>
      <w:r w:rsidRPr="00925F1E">
        <w:rPr>
          <w:sz w:val="23"/>
          <w:szCs w:val="23"/>
        </w:rPr>
        <w:t xml:space="preserve">onvener) Chair </w:t>
      </w:r>
    </w:p>
    <w:p w14:paraId="14B860CA" w14:textId="7FD2023A" w:rsidR="003E7E84" w:rsidRDefault="003E7E84" w:rsidP="00925F1E">
      <w:pPr>
        <w:pStyle w:val="Default"/>
        <w:ind w:left="1440" w:firstLine="720"/>
        <w:rPr>
          <w:sz w:val="23"/>
          <w:szCs w:val="23"/>
        </w:rPr>
      </w:pPr>
      <w:r w:rsidRPr="00925F1E">
        <w:rPr>
          <w:sz w:val="23"/>
          <w:szCs w:val="23"/>
        </w:rPr>
        <w:t xml:space="preserve">Laura Dunlop (LD) (President) </w:t>
      </w:r>
    </w:p>
    <w:p w14:paraId="36AC5505" w14:textId="152C83F0" w:rsidR="00FA7E26" w:rsidRDefault="00FA7E26" w:rsidP="00925F1E">
      <w:pPr>
        <w:pStyle w:val="Default"/>
        <w:ind w:left="1440" w:firstLine="720"/>
        <w:rPr>
          <w:sz w:val="23"/>
          <w:szCs w:val="23"/>
        </w:rPr>
      </w:pPr>
      <w:r>
        <w:rPr>
          <w:sz w:val="23"/>
          <w:szCs w:val="23"/>
        </w:rPr>
        <w:t>Kirsty Watson (KW) (Legal Secretary)</w:t>
      </w:r>
    </w:p>
    <w:p w14:paraId="7ABF6005" w14:textId="3B1915FA" w:rsidR="003E7E84" w:rsidRDefault="003E7E84" w:rsidP="00925F1E">
      <w:pPr>
        <w:pStyle w:val="Default"/>
        <w:ind w:left="1440" w:firstLine="720"/>
        <w:rPr>
          <w:sz w:val="23"/>
          <w:szCs w:val="23"/>
        </w:rPr>
      </w:pPr>
      <w:r w:rsidRPr="00925F1E">
        <w:rPr>
          <w:sz w:val="23"/>
          <w:szCs w:val="23"/>
        </w:rPr>
        <w:t xml:space="preserve">Scott Blythe </w:t>
      </w:r>
      <w:r w:rsidR="00164963">
        <w:rPr>
          <w:sz w:val="23"/>
          <w:szCs w:val="23"/>
        </w:rPr>
        <w:t>(SB)</w:t>
      </w:r>
      <w:r w:rsidR="00FA7E26">
        <w:rPr>
          <w:sz w:val="23"/>
          <w:szCs w:val="23"/>
        </w:rPr>
        <w:t xml:space="preserve"> </w:t>
      </w:r>
      <w:r w:rsidRPr="00925F1E">
        <w:rPr>
          <w:sz w:val="23"/>
          <w:szCs w:val="23"/>
        </w:rPr>
        <w:t>(</w:t>
      </w:r>
      <w:r w:rsidR="00C54A32">
        <w:rPr>
          <w:sz w:val="23"/>
          <w:szCs w:val="23"/>
        </w:rPr>
        <w:t>Tribunal Liaison Officer and Meeting</w:t>
      </w:r>
      <w:r w:rsidRPr="00925F1E">
        <w:rPr>
          <w:sz w:val="23"/>
          <w:szCs w:val="23"/>
        </w:rPr>
        <w:t xml:space="preserve"> facilitator) </w:t>
      </w:r>
    </w:p>
    <w:p w14:paraId="3BA25868" w14:textId="3EA962A8" w:rsidR="00FA7E26" w:rsidRDefault="00FA7E26" w:rsidP="00925F1E">
      <w:pPr>
        <w:pStyle w:val="Default"/>
        <w:ind w:left="1440" w:firstLine="720"/>
        <w:rPr>
          <w:sz w:val="23"/>
          <w:szCs w:val="23"/>
        </w:rPr>
      </w:pPr>
      <w:r>
        <w:rPr>
          <w:sz w:val="23"/>
          <w:szCs w:val="23"/>
        </w:rPr>
        <w:t>Gillian Hutton (GH) (Information and learning officer)</w:t>
      </w:r>
    </w:p>
    <w:p w14:paraId="1AD39681" w14:textId="389B5BAF" w:rsidR="00B266A6" w:rsidRDefault="00FA7E26" w:rsidP="00925F1E">
      <w:pPr>
        <w:pStyle w:val="Default"/>
        <w:ind w:left="1440" w:firstLine="720"/>
        <w:rPr>
          <w:sz w:val="23"/>
          <w:szCs w:val="23"/>
        </w:rPr>
      </w:pPr>
      <w:r>
        <w:rPr>
          <w:sz w:val="23"/>
          <w:szCs w:val="23"/>
        </w:rPr>
        <w:t>Natasha Anderson (NA) (Casework team leader</w:t>
      </w:r>
    </w:p>
    <w:p w14:paraId="7B59FB42" w14:textId="171C0AFB" w:rsidR="00FA7E26" w:rsidRDefault="00FA7E26" w:rsidP="00925F1E">
      <w:pPr>
        <w:pStyle w:val="Default"/>
        <w:ind w:left="1440" w:firstLine="720"/>
        <w:rPr>
          <w:sz w:val="23"/>
          <w:szCs w:val="23"/>
        </w:rPr>
      </w:pPr>
      <w:r>
        <w:rPr>
          <w:sz w:val="23"/>
          <w:szCs w:val="23"/>
        </w:rPr>
        <w:t>Gordon Hope (</w:t>
      </w:r>
      <w:proofErr w:type="spellStart"/>
      <w:r>
        <w:rPr>
          <w:sz w:val="23"/>
          <w:szCs w:val="23"/>
        </w:rPr>
        <w:t>GHo</w:t>
      </w:r>
      <w:proofErr w:type="spellEnd"/>
      <w:r>
        <w:rPr>
          <w:sz w:val="23"/>
          <w:szCs w:val="23"/>
        </w:rPr>
        <w:t>) (Hearings team leader)</w:t>
      </w:r>
    </w:p>
    <w:p w14:paraId="29DE0671" w14:textId="4C6CE3A6" w:rsidR="00FA7E26" w:rsidRDefault="00FA7E26" w:rsidP="00925F1E">
      <w:pPr>
        <w:pStyle w:val="Default"/>
        <w:ind w:left="1440" w:firstLine="720"/>
        <w:rPr>
          <w:sz w:val="23"/>
          <w:szCs w:val="23"/>
        </w:rPr>
      </w:pPr>
      <w:r>
        <w:rPr>
          <w:sz w:val="23"/>
          <w:szCs w:val="23"/>
        </w:rPr>
        <w:t>Scott Graham (SG) (Caseworker)</w:t>
      </w:r>
    </w:p>
    <w:p w14:paraId="08662A41" w14:textId="56138BD5" w:rsidR="00FA7E26" w:rsidRDefault="00FA7E26" w:rsidP="00925F1E">
      <w:pPr>
        <w:pStyle w:val="Default"/>
        <w:ind w:left="1440" w:firstLine="720"/>
        <w:rPr>
          <w:sz w:val="23"/>
          <w:szCs w:val="23"/>
        </w:rPr>
      </w:pPr>
      <w:r>
        <w:rPr>
          <w:sz w:val="23"/>
          <w:szCs w:val="23"/>
        </w:rPr>
        <w:t xml:space="preserve">Jenna Swan (JS) (President </w:t>
      </w:r>
      <w:proofErr w:type="gramStart"/>
      <w:r>
        <w:rPr>
          <w:sz w:val="23"/>
          <w:szCs w:val="23"/>
        </w:rPr>
        <w:t>office</w:t>
      </w:r>
      <w:proofErr w:type="gramEnd"/>
      <w:r>
        <w:rPr>
          <w:sz w:val="23"/>
          <w:szCs w:val="23"/>
        </w:rPr>
        <w:t xml:space="preserve"> secretary – note)</w:t>
      </w:r>
    </w:p>
    <w:p w14:paraId="4241A1EA" w14:textId="4F40B4B6" w:rsidR="00B266A6" w:rsidRPr="00FF32AB" w:rsidRDefault="00EB40E5" w:rsidP="00171478">
      <w:pPr>
        <w:pStyle w:val="Default"/>
        <w:ind w:left="1440" w:firstLine="720"/>
        <w:rPr>
          <w:b/>
          <w:color w:val="000000" w:themeColor="text1"/>
          <w:sz w:val="23"/>
          <w:szCs w:val="23"/>
        </w:rPr>
      </w:pPr>
      <w:r w:rsidRPr="00FF32AB">
        <w:rPr>
          <w:b/>
          <w:color w:val="000000" w:themeColor="text1"/>
          <w:sz w:val="23"/>
          <w:szCs w:val="23"/>
        </w:rPr>
        <w:t>2</w:t>
      </w:r>
      <w:r w:rsidR="00EB07BB" w:rsidRPr="00FF32AB">
        <w:rPr>
          <w:b/>
          <w:color w:val="000000" w:themeColor="text1"/>
          <w:sz w:val="23"/>
          <w:szCs w:val="23"/>
        </w:rPr>
        <w:t>1</w:t>
      </w:r>
      <w:r w:rsidR="008674AC" w:rsidRPr="00FF32AB">
        <w:rPr>
          <w:b/>
          <w:color w:val="000000" w:themeColor="text1"/>
          <w:sz w:val="23"/>
          <w:szCs w:val="23"/>
        </w:rPr>
        <w:t xml:space="preserve"> </w:t>
      </w:r>
      <w:r w:rsidR="00B266A6" w:rsidRPr="00FF32AB">
        <w:rPr>
          <w:b/>
          <w:color w:val="000000" w:themeColor="text1"/>
          <w:sz w:val="23"/>
          <w:szCs w:val="23"/>
        </w:rPr>
        <w:t xml:space="preserve">attendees from outwith MHTS </w:t>
      </w:r>
    </w:p>
    <w:p w14:paraId="6AED59AF" w14:textId="77777777" w:rsidR="003E7E84" w:rsidRDefault="003E7E84" w:rsidP="003E7E84">
      <w:pPr>
        <w:pStyle w:val="Default"/>
        <w:rPr>
          <w:sz w:val="23"/>
          <w:szCs w:val="23"/>
        </w:rPr>
      </w:pPr>
      <w:r>
        <w:rPr>
          <w:sz w:val="23"/>
          <w:szCs w:val="23"/>
        </w:rPr>
        <w:t xml:space="preserve">------------------------------------------------------------------------------------------------------------ </w:t>
      </w:r>
    </w:p>
    <w:p w14:paraId="2E9679F3" w14:textId="77777777" w:rsidR="00925F1E" w:rsidRDefault="00925F1E" w:rsidP="003E7E84">
      <w:pPr>
        <w:pStyle w:val="Default"/>
        <w:rPr>
          <w:sz w:val="26"/>
          <w:szCs w:val="26"/>
        </w:rPr>
      </w:pPr>
    </w:p>
    <w:p w14:paraId="5DD11DFE" w14:textId="77777777" w:rsidR="003E7E84" w:rsidRPr="00AB34BB" w:rsidRDefault="003E7E84" w:rsidP="00AB34BB">
      <w:pPr>
        <w:pStyle w:val="Default"/>
        <w:numPr>
          <w:ilvl w:val="0"/>
          <w:numId w:val="19"/>
        </w:numPr>
        <w:spacing w:line="276" w:lineRule="auto"/>
        <w:jc w:val="both"/>
        <w:rPr>
          <w:b/>
          <w:bCs/>
        </w:rPr>
      </w:pPr>
      <w:r w:rsidRPr="005B12ED">
        <w:rPr>
          <w:b/>
          <w:bCs/>
        </w:rPr>
        <w:t xml:space="preserve">Welcome and Introductions </w:t>
      </w:r>
    </w:p>
    <w:p w14:paraId="7AC2448A" w14:textId="51BC12D0" w:rsidR="00360994" w:rsidRDefault="005C362F" w:rsidP="00360994">
      <w:pPr>
        <w:pStyle w:val="Default"/>
      </w:pPr>
      <w:r>
        <w:t>DH</w:t>
      </w:r>
      <w:r w:rsidR="009C7082" w:rsidRPr="005B12ED">
        <w:t xml:space="preserve"> </w:t>
      </w:r>
      <w:r w:rsidR="003E7E84" w:rsidRPr="005B12ED">
        <w:t>welcomed everyone to the Forum</w:t>
      </w:r>
      <w:r w:rsidR="000074E8">
        <w:t xml:space="preserve"> and MHTS personnel introduced themselves</w:t>
      </w:r>
      <w:r w:rsidR="00D163DB">
        <w:t>.</w:t>
      </w:r>
    </w:p>
    <w:p w14:paraId="372AA73B" w14:textId="77777777" w:rsidR="00360994" w:rsidRDefault="00360994" w:rsidP="00360994">
      <w:pPr>
        <w:pStyle w:val="Default"/>
      </w:pPr>
    </w:p>
    <w:p w14:paraId="000AD8D2" w14:textId="77777777" w:rsidR="00360994" w:rsidRDefault="00360994" w:rsidP="00360994">
      <w:pPr>
        <w:pStyle w:val="Default"/>
      </w:pPr>
    </w:p>
    <w:p w14:paraId="7A96743E" w14:textId="5730756D" w:rsidR="00360994" w:rsidRDefault="00AB34BB" w:rsidP="00360994">
      <w:pPr>
        <w:pStyle w:val="Default"/>
        <w:numPr>
          <w:ilvl w:val="0"/>
          <w:numId w:val="19"/>
        </w:numPr>
        <w:spacing w:line="276" w:lineRule="auto"/>
        <w:jc w:val="both"/>
        <w:rPr>
          <w:b/>
          <w:bCs/>
        </w:rPr>
      </w:pPr>
      <w:r w:rsidRPr="00AB34BB">
        <w:rPr>
          <w:b/>
          <w:bCs/>
        </w:rPr>
        <w:t xml:space="preserve"> </w:t>
      </w:r>
      <w:r w:rsidR="00360994" w:rsidRPr="00360994">
        <w:rPr>
          <w:b/>
          <w:bCs/>
        </w:rPr>
        <w:t>Tribunal Update from the President and developments, including on visual hearings.</w:t>
      </w:r>
    </w:p>
    <w:p w14:paraId="7915AAAA" w14:textId="1380EB4F" w:rsidR="00EB40E5" w:rsidRPr="00360994" w:rsidRDefault="00EB40E5" w:rsidP="00EB40E5">
      <w:pPr>
        <w:pStyle w:val="Default"/>
        <w:spacing w:line="276" w:lineRule="auto"/>
        <w:ind w:left="360"/>
        <w:jc w:val="both"/>
        <w:rPr>
          <w:b/>
          <w:bCs/>
        </w:rPr>
      </w:pPr>
    </w:p>
    <w:p w14:paraId="18134F02" w14:textId="64AE1C21" w:rsidR="00EB40E5" w:rsidRDefault="00EB40E5" w:rsidP="00EB40E5">
      <w:pPr>
        <w:pStyle w:val="Default"/>
        <w:ind w:left="360"/>
        <w:rPr>
          <w:b/>
          <w:u w:val="single"/>
        </w:rPr>
      </w:pPr>
      <w:r>
        <w:rPr>
          <w:b/>
          <w:u w:val="single"/>
        </w:rPr>
        <w:t>(i) Annual Statistics</w:t>
      </w:r>
    </w:p>
    <w:p w14:paraId="37CAB959" w14:textId="1D7FED31" w:rsidR="00EB40E5" w:rsidRDefault="00EB40E5" w:rsidP="00EB40E5">
      <w:pPr>
        <w:pStyle w:val="Default"/>
        <w:ind w:left="360"/>
      </w:pPr>
      <w:r>
        <w:t>To the year ending 31 M</w:t>
      </w:r>
      <w:r w:rsidRPr="00171014">
        <w:t>arch 2024</w:t>
      </w:r>
      <w:r>
        <w:t>,</w:t>
      </w:r>
      <w:r w:rsidRPr="00171014">
        <w:t xml:space="preserve"> </w:t>
      </w:r>
      <w:r>
        <w:t xml:space="preserve">there were </w:t>
      </w:r>
      <w:r w:rsidRPr="00171014">
        <w:t>5463 applications,</w:t>
      </w:r>
      <w:r>
        <w:t xml:space="preserve"> so a</w:t>
      </w:r>
      <w:r w:rsidRPr="00171014">
        <w:t xml:space="preserve"> 2.8</w:t>
      </w:r>
      <w:r>
        <w:t>% rise in applications</w:t>
      </w:r>
      <w:r w:rsidRPr="00171014">
        <w:t>.</w:t>
      </w:r>
      <w:r>
        <w:t xml:space="preserve"> The number of hearings was slightly lower</w:t>
      </w:r>
      <w:r w:rsidR="00BA044E">
        <w:t xml:space="preserve"> than last year</w:t>
      </w:r>
      <w:r>
        <w:t>, perhaps due to fewer adjournments. We are holding on average 120-130 hearings a week at the moment.</w:t>
      </w:r>
    </w:p>
    <w:p w14:paraId="4C695492" w14:textId="067A00AC" w:rsidR="00360994" w:rsidRDefault="00360994" w:rsidP="00360994">
      <w:pPr>
        <w:pStyle w:val="Default"/>
        <w:spacing w:line="276" w:lineRule="auto"/>
        <w:ind w:left="360"/>
        <w:jc w:val="both"/>
        <w:rPr>
          <w:b/>
          <w:bCs/>
        </w:rPr>
      </w:pPr>
    </w:p>
    <w:p w14:paraId="7CACBD18" w14:textId="4DFC180A" w:rsidR="00EB40E5" w:rsidRPr="00171014" w:rsidRDefault="00EB40E5" w:rsidP="00EB40E5">
      <w:pPr>
        <w:pStyle w:val="Default"/>
        <w:ind w:firstLine="360"/>
        <w:rPr>
          <w:b/>
          <w:u w:val="single"/>
        </w:rPr>
      </w:pPr>
      <w:r>
        <w:rPr>
          <w:b/>
          <w:u w:val="single"/>
        </w:rPr>
        <w:t>(ii)Transfer</w:t>
      </w:r>
      <w:r w:rsidRPr="00171014">
        <w:rPr>
          <w:b/>
          <w:u w:val="single"/>
        </w:rPr>
        <w:t xml:space="preserve"> in</w:t>
      </w:r>
      <w:r>
        <w:rPr>
          <w:b/>
          <w:u w:val="single"/>
        </w:rPr>
        <w:t xml:space="preserve"> </w:t>
      </w:r>
      <w:r w:rsidRPr="00171014">
        <w:rPr>
          <w:b/>
          <w:u w:val="single"/>
        </w:rPr>
        <w:t>to the first tier tribunal</w:t>
      </w:r>
    </w:p>
    <w:p w14:paraId="09DF4ED0" w14:textId="00627407" w:rsidR="00EB40E5" w:rsidRDefault="00EB40E5" w:rsidP="00EB40E5">
      <w:pPr>
        <w:pStyle w:val="Default"/>
        <w:ind w:left="426"/>
      </w:pPr>
      <w:r>
        <w:t>MHTS is not yet part of the First Tier Tribunal. There is no set date for the transfer. It will not be this year.  The transfer is mentioned in Scottish Government’s ‘The Vision for Justice in Scotland’ which is a 3 year delivery plan up to March 2026. LD explained the changes that would take place when MHTS moves in - permission to appeal a tribunal’s decision will be needed, appeals will be heard by the Upper Tribunal and there will be new regulations for the Tribunal’s day to day work. The</w:t>
      </w:r>
      <w:r w:rsidR="00BA044E">
        <w:t>re will also be a new set of SSI</w:t>
      </w:r>
      <w:r>
        <w:t>’s.</w:t>
      </w:r>
    </w:p>
    <w:p w14:paraId="1178826E" w14:textId="77777777" w:rsidR="00EB40E5" w:rsidRDefault="00EB40E5" w:rsidP="00360994">
      <w:pPr>
        <w:pStyle w:val="Default"/>
        <w:spacing w:line="276" w:lineRule="auto"/>
        <w:ind w:left="360"/>
        <w:jc w:val="both"/>
        <w:rPr>
          <w:b/>
          <w:bCs/>
        </w:rPr>
      </w:pPr>
    </w:p>
    <w:p w14:paraId="5FF79307" w14:textId="5A7DB6CD" w:rsidR="00EB40E5" w:rsidRDefault="00EB07BB" w:rsidP="00EB07BB">
      <w:pPr>
        <w:pStyle w:val="Default"/>
        <w:ind w:firstLine="426"/>
      </w:pPr>
      <w:r>
        <w:rPr>
          <w:b/>
          <w:u w:val="single"/>
        </w:rPr>
        <w:t xml:space="preserve">(iii) </w:t>
      </w:r>
      <w:r w:rsidR="00EB40E5" w:rsidRPr="00FD070D">
        <w:rPr>
          <w:b/>
          <w:u w:val="single"/>
        </w:rPr>
        <w:t>Hearing modes</w:t>
      </w:r>
    </w:p>
    <w:p w14:paraId="37D05207" w14:textId="2CFA8DEB" w:rsidR="00EB40E5" w:rsidRDefault="00EB40E5" w:rsidP="00EB07BB">
      <w:pPr>
        <w:pStyle w:val="Default"/>
        <w:ind w:left="426"/>
      </w:pPr>
      <w:r>
        <w:t>We continue to try to reduce the number of telephone hearings and to hold more ‘visual’ ones i.e. in per</w:t>
      </w:r>
      <w:r w:rsidR="00BA044E">
        <w:t>son or video conference ones. 40</w:t>
      </w:r>
      <w:r>
        <w:t xml:space="preserve">% of hearings are now visual hearings.  All modes will remain part of the landscape. WebEx hearings are also running in some venues. Some of the venues are now default in person hearings. There are still a lot of practical issues that we are trying to overcome. We are working with some venues to do this, especially in rural areas. </w:t>
      </w:r>
      <w:r w:rsidR="00EB07BB">
        <w:t xml:space="preserve">Royal Edinburgh is not yet one </w:t>
      </w:r>
      <w:r w:rsidR="00FF32AB">
        <w:t>of the default in person venues and some</w:t>
      </w:r>
      <w:r w:rsidR="00EB07BB">
        <w:t xml:space="preserve"> logistical </w:t>
      </w:r>
      <w:r w:rsidR="00EB07BB">
        <w:lastRenderedPageBreak/>
        <w:t>issues remain here. The other 4 of the top 5 busiest venues have been made default in person hearings.</w:t>
      </w:r>
    </w:p>
    <w:p w14:paraId="68AFE6B9" w14:textId="3F333EDE" w:rsidR="00125EE6" w:rsidRDefault="00125EE6" w:rsidP="00EB07BB">
      <w:pPr>
        <w:pStyle w:val="Default"/>
        <w:ind w:left="426"/>
      </w:pPr>
    </w:p>
    <w:p w14:paraId="09CBFBC9" w14:textId="7B6B5406" w:rsidR="00125EE6" w:rsidRDefault="00125EE6" w:rsidP="00125EE6">
      <w:pPr>
        <w:pStyle w:val="Default"/>
        <w:spacing w:line="276" w:lineRule="auto"/>
        <w:ind w:left="360"/>
        <w:jc w:val="both"/>
      </w:pPr>
      <w:r>
        <w:t xml:space="preserve">A graph was shown which highlighted the number of visual hearings being arranged on a month by month basis. LD explained the numbers on the graph.  We continue to show the latest hearings information on the ‘News’ tab of the website – click </w:t>
      </w:r>
      <w:hyperlink r:id="rId6" w:history="1">
        <w:r>
          <w:rPr>
            <w:rStyle w:val="Hyperlink"/>
          </w:rPr>
          <w:t>here</w:t>
        </w:r>
      </w:hyperlink>
      <w:r>
        <w:t xml:space="preserve"> for link to news.</w:t>
      </w:r>
    </w:p>
    <w:p w14:paraId="5F836FA0" w14:textId="77777777" w:rsidR="00125EE6" w:rsidRDefault="00125EE6" w:rsidP="00125EE6">
      <w:pPr>
        <w:pStyle w:val="Default"/>
        <w:spacing w:line="276" w:lineRule="auto"/>
        <w:ind w:left="360"/>
        <w:jc w:val="both"/>
      </w:pPr>
    </w:p>
    <w:p w14:paraId="782C9FC2" w14:textId="62F9D8AD" w:rsidR="00125EE6" w:rsidRPr="0068242A" w:rsidRDefault="00125EE6" w:rsidP="00125EE6">
      <w:pPr>
        <w:overflowPunct w:val="0"/>
        <w:autoSpaceDE w:val="0"/>
        <w:autoSpaceDN w:val="0"/>
        <w:adjustRightInd w:val="0"/>
        <w:spacing w:after="120" w:line="240" w:lineRule="atLeast"/>
        <w:ind w:left="426"/>
        <w:jc w:val="both"/>
        <w:textAlignment w:val="baseline"/>
        <w:rPr>
          <w:rFonts w:ascii="Arial" w:hAnsi="Arial" w:cs="Arial"/>
        </w:rPr>
      </w:pPr>
      <w:r w:rsidRPr="0068242A">
        <w:rPr>
          <w:rFonts w:ascii="Arial" w:hAnsi="Arial" w:cs="Arial"/>
        </w:rPr>
        <w:t xml:space="preserve">A leaflet has been sent out to stakeholders explaining the different hearing types for patients– What type of hearing would I prefer?. Any preference of type of hearing by the patient should be entered on the hearing preference form, which is to be sent to MHTS with applications. This information should be provided to the Tribunal at the very start of cases and before the hearing is scheduled.  The leaflet is also available on the Tribunal website – click </w:t>
      </w:r>
      <w:hyperlink r:id="rId7" w:history="1">
        <w:r w:rsidRPr="00E72DC8">
          <w:rPr>
            <w:rStyle w:val="Hyperlink"/>
            <w:rFonts w:ascii="Arial" w:hAnsi="Arial" w:cs="Arial"/>
          </w:rPr>
          <w:t>here</w:t>
        </w:r>
      </w:hyperlink>
      <w:r w:rsidRPr="0068242A">
        <w:rPr>
          <w:rFonts w:ascii="Arial" w:hAnsi="Arial" w:cs="Arial"/>
        </w:rPr>
        <w:t xml:space="preserve"> for link to leaflet.</w:t>
      </w:r>
    </w:p>
    <w:p w14:paraId="28349AF2" w14:textId="77777777" w:rsidR="00EB07BB" w:rsidRDefault="00EB07BB" w:rsidP="00EB07BB">
      <w:pPr>
        <w:pStyle w:val="Default"/>
        <w:ind w:left="426"/>
      </w:pPr>
    </w:p>
    <w:p w14:paraId="2FB35390" w14:textId="04859F08" w:rsidR="00EB07BB" w:rsidRDefault="00EB07BB" w:rsidP="00EB07BB">
      <w:pPr>
        <w:pStyle w:val="Default"/>
        <w:ind w:left="426"/>
      </w:pPr>
      <w:r w:rsidRPr="00EB07BB">
        <w:t xml:space="preserve">In February to May 2020 we carried out a short survey of venues, we have just again carried out the same survey. This gives us the knowledge of where the most hearings are taking place and the percentages of hearing modes between in person and teleconference.  </w:t>
      </w:r>
      <w:proofErr w:type="spellStart"/>
      <w:r w:rsidRPr="00EB07BB">
        <w:t>Langhill</w:t>
      </w:r>
      <w:proofErr w:type="spellEnd"/>
      <w:r w:rsidRPr="00EB07BB">
        <w:t xml:space="preserve">, </w:t>
      </w:r>
      <w:proofErr w:type="spellStart"/>
      <w:r w:rsidRPr="00EB07BB">
        <w:t>Leverndale</w:t>
      </w:r>
      <w:proofErr w:type="spellEnd"/>
      <w:r w:rsidRPr="00EB07BB">
        <w:t xml:space="preserve">, </w:t>
      </w:r>
      <w:proofErr w:type="spellStart"/>
      <w:r w:rsidRPr="00EB07BB">
        <w:t>Hairmyres</w:t>
      </w:r>
      <w:proofErr w:type="spellEnd"/>
      <w:r w:rsidRPr="00EB07BB">
        <w:t xml:space="preserve"> and Royal Cornhill have more than 65% of hearings as in person.  The range is quite wide, however.</w:t>
      </w:r>
      <w:r w:rsidR="00125EE6">
        <w:t xml:space="preserve"> The survey threw up an unexpected result as to the </w:t>
      </w:r>
      <w:r w:rsidR="00BA044E">
        <w:t xml:space="preserve">varied </w:t>
      </w:r>
      <w:r w:rsidR="00125EE6">
        <w:t>percentage</w:t>
      </w:r>
      <w:r w:rsidR="00BA044E">
        <w:t>s</w:t>
      </w:r>
      <w:r w:rsidR="00125EE6">
        <w:t xml:space="preserve"> of hearings that are in person</w:t>
      </w:r>
      <w:r w:rsidR="00BA044E">
        <w:t xml:space="preserve"> from hospital to hospital</w:t>
      </w:r>
      <w:r w:rsidR="00125EE6">
        <w:t>.</w:t>
      </w:r>
    </w:p>
    <w:p w14:paraId="49EF4209" w14:textId="7AC53798" w:rsidR="00125EE6" w:rsidRDefault="00125EE6" w:rsidP="00EB07BB">
      <w:pPr>
        <w:pStyle w:val="Default"/>
        <w:ind w:left="426"/>
      </w:pPr>
    </w:p>
    <w:p w14:paraId="7AF2CABC" w14:textId="0FF083D6" w:rsidR="00125EE6" w:rsidRDefault="00125EE6" w:rsidP="00125EE6">
      <w:pPr>
        <w:pStyle w:val="Default"/>
        <w:ind w:firstLine="360"/>
        <w:rPr>
          <w:b/>
          <w:u w:val="single"/>
        </w:rPr>
      </w:pPr>
      <w:r>
        <w:rPr>
          <w:b/>
          <w:u w:val="single"/>
        </w:rPr>
        <w:t>(</w:t>
      </w:r>
      <w:proofErr w:type="gramStart"/>
      <w:r>
        <w:rPr>
          <w:b/>
          <w:u w:val="single"/>
        </w:rPr>
        <w:t>vi</w:t>
      </w:r>
      <w:proofErr w:type="gramEnd"/>
      <w:r>
        <w:rPr>
          <w:b/>
          <w:u w:val="single"/>
        </w:rPr>
        <w:t xml:space="preserve">) </w:t>
      </w:r>
      <w:r w:rsidR="00FF32AB">
        <w:rPr>
          <w:b/>
          <w:u w:val="single"/>
        </w:rPr>
        <w:t>Guidance for children</w:t>
      </w:r>
      <w:r w:rsidRPr="00125EE6">
        <w:rPr>
          <w:b/>
          <w:u w:val="single"/>
        </w:rPr>
        <w:t xml:space="preserve"> and young </w:t>
      </w:r>
      <w:proofErr w:type="spellStart"/>
      <w:r w:rsidRPr="00125EE6">
        <w:rPr>
          <w:b/>
          <w:u w:val="single"/>
        </w:rPr>
        <w:t>person</w:t>
      </w:r>
      <w:r w:rsidR="00FF32AB">
        <w:rPr>
          <w:b/>
          <w:u w:val="single"/>
        </w:rPr>
        <w:t>s</w:t>
      </w:r>
      <w:proofErr w:type="spellEnd"/>
      <w:r w:rsidRPr="00125EE6">
        <w:rPr>
          <w:b/>
          <w:u w:val="single"/>
        </w:rPr>
        <w:t xml:space="preserve"> hearings</w:t>
      </w:r>
    </w:p>
    <w:p w14:paraId="33A74F1B" w14:textId="1B43BE97" w:rsidR="00125EE6" w:rsidRDefault="00BA044E" w:rsidP="00125EE6">
      <w:pPr>
        <w:overflowPunct w:val="0"/>
        <w:autoSpaceDE w:val="0"/>
        <w:autoSpaceDN w:val="0"/>
        <w:adjustRightInd w:val="0"/>
        <w:spacing w:after="120" w:line="240" w:lineRule="atLeast"/>
        <w:ind w:left="426"/>
        <w:jc w:val="both"/>
        <w:textAlignment w:val="baseline"/>
        <w:rPr>
          <w:rFonts w:ascii="Arial" w:hAnsi="Arial" w:cs="Arial"/>
        </w:rPr>
      </w:pPr>
      <w:r>
        <w:rPr>
          <w:rFonts w:ascii="Arial" w:hAnsi="Arial" w:cs="Arial"/>
        </w:rPr>
        <w:t>LD informed</w:t>
      </w:r>
      <w:r w:rsidR="00125EE6">
        <w:rPr>
          <w:rFonts w:ascii="Arial" w:hAnsi="Arial" w:cs="Arial"/>
        </w:rPr>
        <w:t xml:space="preserve"> the forum that t</w:t>
      </w:r>
      <w:r w:rsidR="00125EE6" w:rsidRPr="0068242A">
        <w:rPr>
          <w:rFonts w:ascii="Arial" w:hAnsi="Arial" w:cs="Arial"/>
        </w:rPr>
        <w:t xml:space="preserve">he UNCRC </w:t>
      </w:r>
      <w:r w:rsidR="00125EE6">
        <w:rPr>
          <w:rFonts w:ascii="Arial" w:hAnsi="Arial" w:cs="Arial"/>
        </w:rPr>
        <w:t>I</w:t>
      </w:r>
      <w:r w:rsidR="00125EE6" w:rsidRPr="0068242A">
        <w:rPr>
          <w:rFonts w:ascii="Arial" w:hAnsi="Arial" w:cs="Arial"/>
        </w:rPr>
        <w:t xml:space="preserve">ncorporation </w:t>
      </w:r>
      <w:r w:rsidR="00125EE6">
        <w:rPr>
          <w:rFonts w:ascii="Arial" w:hAnsi="Arial" w:cs="Arial"/>
        </w:rPr>
        <w:t>A</w:t>
      </w:r>
      <w:r w:rsidR="00125EE6" w:rsidRPr="0068242A">
        <w:rPr>
          <w:rFonts w:ascii="Arial" w:hAnsi="Arial" w:cs="Arial"/>
        </w:rPr>
        <w:t xml:space="preserve">ct </w:t>
      </w:r>
      <w:r w:rsidR="00125EE6">
        <w:rPr>
          <w:rFonts w:ascii="Arial" w:hAnsi="Arial" w:cs="Arial"/>
        </w:rPr>
        <w:t xml:space="preserve">is </w:t>
      </w:r>
      <w:r w:rsidR="00125EE6" w:rsidRPr="0068242A">
        <w:rPr>
          <w:rFonts w:ascii="Arial" w:hAnsi="Arial" w:cs="Arial"/>
        </w:rPr>
        <w:t xml:space="preserve">coming into force on 16th July. Guidance for </w:t>
      </w:r>
      <w:r w:rsidR="00125EE6">
        <w:rPr>
          <w:rFonts w:ascii="Arial" w:hAnsi="Arial" w:cs="Arial"/>
        </w:rPr>
        <w:t xml:space="preserve">hearings for </w:t>
      </w:r>
      <w:r w:rsidR="00125EE6" w:rsidRPr="0068242A">
        <w:rPr>
          <w:rFonts w:ascii="Arial" w:hAnsi="Arial" w:cs="Arial"/>
        </w:rPr>
        <w:t>young people has been drafted.</w:t>
      </w:r>
    </w:p>
    <w:p w14:paraId="099FF364" w14:textId="4DDCCE4C" w:rsidR="007F6BC4" w:rsidRPr="007F6BC4" w:rsidRDefault="007F6BC4" w:rsidP="007F6BC4">
      <w:pPr>
        <w:overflowPunct w:val="0"/>
        <w:autoSpaceDE w:val="0"/>
        <w:autoSpaceDN w:val="0"/>
        <w:adjustRightInd w:val="0"/>
        <w:spacing w:after="120" w:line="240" w:lineRule="atLeast"/>
        <w:jc w:val="both"/>
        <w:textAlignment w:val="baseline"/>
        <w:rPr>
          <w:rFonts w:ascii="Arial" w:hAnsi="Arial" w:cs="Arial"/>
          <w:b/>
          <w:u w:val="single"/>
        </w:rPr>
      </w:pPr>
      <w:r w:rsidRPr="007F6BC4">
        <w:rPr>
          <w:rFonts w:ascii="Arial" w:hAnsi="Arial" w:cs="Arial"/>
          <w:b/>
          <w:u w:val="single"/>
        </w:rPr>
        <w:t>Questions</w:t>
      </w:r>
    </w:p>
    <w:p w14:paraId="31ACBCEC" w14:textId="18439F76" w:rsidR="00125EE6" w:rsidRPr="00125EE6" w:rsidRDefault="00125EE6" w:rsidP="007F6BC4">
      <w:pPr>
        <w:pStyle w:val="Default"/>
      </w:pPr>
      <w:r>
        <w:t xml:space="preserve">An attendee asked </w:t>
      </w:r>
      <w:r w:rsidR="007F6BC4">
        <w:t xml:space="preserve">generally </w:t>
      </w:r>
      <w:r>
        <w:t>about</w:t>
      </w:r>
      <w:r w:rsidR="007F6BC4">
        <w:t xml:space="preserve"> hospitals having an appropriate space </w:t>
      </w:r>
      <w:r>
        <w:t xml:space="preserve">for patients to participate via </w:t>
      </w:r>
      <w:proofErr w:type="spellStart"/>
      <w:r>
        <w:t>webex</w:t>
      </w:r>
      <w:proofErr w:type="spellEnd"/>
      <w:r>
        <w:t xml:space="preserve">. LD explained the situation re </w:t>
      </w:r>
      <w:proofErr w:type="spellStart"/>
      <w:r>
        <w:t>webex</w:t>
      </w:r>
      <w:proofErr w:type="spellEnd"/>
      <w:r>
        <w:t xml:space="preserve"> and some issues we have had</w:t>
      </w:r>
      <w:r w:rsidR="007F6BC4">
        <w:t xml:space="preserve"> while</w:t>
      </w:r>
      <w:r>
        <w:t xml:space="preserve"> trying to roll it out to individ</w:t>
      </w:r>
      <w:r w:rsidR="007F6BC4">
        <w:t>ual hospitals (</w:t>
      </w:r>
      <w:proofErr w:type="spellStart"/>
      <w:r w:rsidR="007F6BC4">
        <w:t>Adhoc</w:t>
      </w:r>
      <w:proofErr w:type="spellEnd"/>
      <w:r w:rsidR="007F6BC4">
        <w:t xml:space="preserve"> basis). </w:t>
      </w:r>
      <w:proofErr w:type="spellStart"/>
      <w:r w:rsidR="007F6BC4">
        <w:t>GHo</w:t>
      </w:r>
      <w:proofErr w:type="spellEnd"/>
      <w:r w:rsidR="007F6BC4">
        <w:t xml:space="preserve"> also explained that hospitals need to have good internet connectivity to run </w:t>
      </w:r>
      <w:proofErr w:type="spellStart"/>
      <w:r w:rsidR="007F6BC4">
        <w:t>webex</w:t>
      </w:r>
      <w:proofErr w:type="spellEnd"/>
      <w:r w:rsidR="007F6BC4">
        <w:t xml:space="preserve"> and this is not always the case.</w:t>
      </w:r>
    </w:p>
    <w:p w14:paraId="4DE7B241" w14:textId="77777777" w:rsidR="00EB40E5" w:rsidRDefault="00EB40E5" w:rsidP="00EB40E5">
      <w:pPr>
        <w:pStyle w:val="Default"/>
      </w:pPr>
    </w:p>
    <w:p w14:paraId="41CB226F" w14:textId="51C30751" w:rsidR="00013214" w:rsidRPr="00013214" w:rsidRDefault="00013214" w:rsidP="00013214">
      <w:pPr>
        <w:rPr>
          <w:rFonts w:ascii="Arial" w:eastAsiaTheme="minorHAnsi" w:hAnsi="Arial" w:cs="Arial"/>
          <w:b/>
          <w:bCs/>
          <w:color w:val="000000"/>
          <w:lang w:eastAsia="en-US"/>
        </w:rPr>
      </w:pPr>
      <w:r>
        <w:rPr>
          <w:rFonts w:ascii="Arial" w:eastAsiaTheme="minorHAnsi" w:hAnsi="Arial" w:cs="Arial"/>
          <w:b/>
          <w:bCs/>
          <w:color w:val="000000"/>
          <w:lang w:eastAsia="en-US"/>
        </w:rPr>
        <w:t xml:space="preserve">3. </w:t>
      </w:r>
      <w:r w:rsidRPr="00013214">
        <w:rPr>
          <w:rFonts w:ascii="Arial" w:eastAsiaTheme="minorHAnsi" w:hAnsi="Arial" w:cs="Arial"/>
          <w:b/>
          <w:bCs/>
          <w:color w:val="000000"/>
          <w:lang w:eastAsia="en-US"/>
        </w:rPr>
        <w:t>News and Developments</w:t>
      </w:r>
    </w:p>
    <w:p w14:paraId="62FADDCB" w14:textId="77777777" w:rsidR="007F6BC4" w:rsidRDefault="007F6BC4" w:rsidP="007F6BC4">
      <w:pPr>
        <w:pStyle w:val="Default"/>
        <w:spacing w:line="276" w:lineRule="auto"/>
        <w:jc w:val="both"/>
        <w:rPr>
          <w:b/>
          <w:bCs/>
        </w:rPr>
      </w:pPr>
    </w:p>
    <w:p w14:paraId="459C8CDA" w14:textId="4D1BAB95" w:rsidR="00360994" w:rsidRDefault="007F6BC4" w:rsidP="007F6BC4">
      <w:pPr>
        <w:pStyle w:val="Default"/>
        <w:spacing w:line="276" w:lineRule="auto"/>
        <w:jc w:val="both"/>
        <w:rPr>
          <w:b/>
          <w:bCs/>
        </w:rPr>
      </w:pPr>
      <w:r>
        <w:rPr>
          <w:b/>
          <w:bCs/>
        </w:rPr>
        <w:t>Forms</w:t>
      </w:r>
    </w:p>
    <w:p w14:paraId="3992501E" w14:textId="667AD6E8" w:rsidR="007F6BC4" w:rsidRDefault="007F6BC4" w:rsidP="007F6BC4">
      <w:pPr>
        <w:pStyle w:val="Default"/>
      </w:pPr>
      <w:r w:rsidRPr="007F6BC4">
        <w:t>DH noted to all</w:t>
      </w:r>
      <w:r>
        <w:t xml:space="preserve"> the importance</w:t>
      </w:r>
      <w:r w:rsidR="005F081A">
        <w:t xml:space="preserve"> of</w:t>
      </w:r>
      <w:r w:rsidRPr="007F6BC4">
        <w:t xml:space="preserve"> forms and applications </w:t>
      </w:r>
      <w:r>
        <w:t xml:space="preserve">sent to the tribunal </w:t>
      </w:r>
      <w:r w:rsidR="005F081A">
        <w:t xml:space="preserve">and the </w:t>
      </w:r>
      <w:r>
        <w:t xml:space="preserve">need </w:t>
      </w:r>
      <w:r w:rsidR="005F081A">
        <w:t xml:space="preserve">for them </w:t>
      </w:r>
      <w:r>
        <w:t>to be fully completed. This helps casework</w:t>
      </w:r>
      <w:r w:rsidR="00BA044E">
        <w:t>er</w:t>
      </w:r>
      <w:r>
        <w:t>s process the applications efficiently and timeously.</w:t>
      </w:r>
    </w:p>
    <w:p w14:paraId="40C69EA9" w14:textId="1EC1987B" w:rsidR="007F6BC4" w:rsidRDefault="007F6BC4" w:rsidP="007F6BC4">
      <w:pPr>
        <w:pStyle w:val="Default"/>
      </w:pPr>
    </w:p>
    <w:p w14:paraId="04036D6B" w14:textId="2459495F" w:rsidR="007F6BC4" w:rsidRPr="007F6BC4" w:rsidRDefault="007F6BC4" w:rsidP="007F6BC4">
      <w:pPr>
        <w:pStyle w:val="Default"/>
        <w:rPr>
          <w:b/>
        </w:rPr>
      </w:pPr>
      <w:r w:rsidRPr="007F6BC4">
        <w:rPr>
          <w:b/>
        </w:rPr>
        <w:t>Availability</w:t>
      </w:r>
    </w:p>
    <w:p w14:paraId="10609416" w14:textId="29C5D276" w:rsidR="007F6BC4" w:rsidRDefault="007F6BC4" w:rsidP="007F6BC4">
      <w:pPr>
        <w:pStyle w:val="Default"/>
      </w:pPr>
      <w:r>
        <w:t xml:space="preserve">DH advised that full availability should be given when applications are being submitted to the casework teams. DH insists that availability and </w:t>
      </w:r>
      <w:proofErr w:type="spellStart"/>
      <w:r>
        <w:t xml:space="preserve">non </w:t>
      </w:r>
      <w:r w:rsidR="005F081A">
        <w:t>availability</w:t>
      </w:r>
      <w:proofErr w:type="spellEnd"/>
      <w:r>
        <w:t xml:space="preserve"> should be provided to help caseworkers and schedulers arrange hearings</w:t>
      </w:r>
      <w:r w:rsidR="005F081A">
        <w:t xml:space="preserve"> as</w:t>
      </w:r>
      <w:r>
        <w:t xml:space="preserve"> efficiently as possible</w:t>
      </w:r>
      <w:r w:rsidR="005F081A">
        <w:t>.</w:t>
      </w:r>
    </w:p>
    <w:p w14:paraId="57DA8F29" w14:textId="76B3006B" w:rsidR="007F6BC4" w:rsidRDefault="007F6BC4" w:rsidP="007F6BC4">
      <w:pPr>
        <w:pStyle w:val="Default"/>
      </w:pPr>
    </w:p>
    <w:p w14:paraId="5D3547D6" w14:textId="77777777" w:rsidR="007F6BC4" w:rsidRDefault="007F6BC4" w:rsidP="007F6BC4">
      <w:pPr>
        <w:pStyle w:val="Default"/>
        <w:rPr>
          <w:b/>
        </w:rPr>
      </w:pPr>
    </w:p>
    <w:p w14:paraId="2522C672" w14:textId="77777777" w:rsidR="007F6BC4" w:rsidRDefault="007F6BC4" w:rsidP="007F6BC4">
      <w:pPr>
        <w:pStyle w:val="Default"/>
        <w:rPr>
          <w:b/>
        </w:rPr>
      </w:pPr>
    </w:p>
    <w:p w14:paraId="4C23F19F" w14:textId="6011C797" w:rsidR="007F6BC4" w:rsidRPr="007F6BC4" w:rsidRDefault="007F6BC4" w:rsidP="007F6BC4">
      <w:pPr>
        <w:pStyle w:val="Default"/>
        <w:rPr>
          <w:b/>
        </w:rPr>
      </w:pPr>
      <w:r w:rsidRPr="007F6BC4">
        <w:rPr>
          <w:b/>
        </w:rPr>
        <w:lastRenderedPageBreak/>
        <w:t>Applications</w:t>
      </w:r>
    </w:p>
    <w:p w14:paraId="40AEAD26" w14:textId="5F8C488D" w:rsidR="007F6BC4" w:rsidRDefault="007F6BC4" w:rsidP="007F6BC4">
      <w:pPr>
        <w:pStyle w:val="Default"/>
      </w:pPr>
      <w:r>
        <w:t>DH asked attendees to not leave any blank spaces in applications and to prov</w:t>
      </w:r>
      <w:r w:rsidR="00BA044E">
        <w:t>ide full up to date information</w:t>
      </w:r>
      <w:r>
        <w:t>. Again</w:t>
      </w:r>
      <w:r w:rsidR="005F081A">
        <w:t>,</w:t>
      </w:r>
      <w:r>
        <w:t xml:space="preserve"> this helps casework process applications efficiently.</w:t>
      </w:r>
    </w:p>
    <w:p w14:paraId="32C1522C" w14:textId="3D7A21AD" w:rsidR="007F6BC4" w:rsidRDefault="007F6BC4" w:rsidP="007F6BC4">
      <w:pPr>
        <w:pStyle w:val="Default"/>
      </w:pPr>
    </w:p>
    <w:p w14:paraId="116AAC76" w14:textId="1A63E65A" w:rsidR="007F6BC4" w:rsidRDefault="007F6BC4" w:rsidP="007F6BC4">
      <w:pPr>
        <w:pStyle w:val="Default"/>
        <w:rPr>
          <w:b/>
        </w:rPr>
      </w:pPr>
      <w:r w:rsidRPr="007F6BC4">
        <w:rPr>
          <w:b/>
        </w:rPr>
        <w:t>Adjournment requests</w:t>
      </w:r>
    </w:p>
    <w:p w14:paraId="3C859C82" w14:textId="50632992" w:rsidR="007F6BC4" w:rsidRDefault="005F081A" w:rsidP="007F6BC4">
      <w:pPr>
        <w:pStyle w:val="Default"/>
      </w:pPr>
      <w:r>
        <w:t>All a</w:t>
      </w:r>
      <w:r w:rsidR="007F6BC4">
        <w:t xml:space="preserve">djournment requests come to the </w:t>
      </w:r>
      <w:r>
        <w:t>president’s</w:t>
      </w:r>
      <w:r w:rsidR="007F6BC4">
        <w:t xml:space="preserve"> office. Please send these at the first </w:t>
      </w:r>
      <w:r w:rsidR="00BA044E">
        <w:t>opportunity</w:t>
      </w:r>
      <w:r>
        <w:t xml:space="preserve"> to the casework teams. This will</w:t>
      </w:r>
      <w:r w:rsidR="007F6BC4">
        <w:t xml:space="preserve"> help with processing these</w:t>
      </w:r>
      <w:r>
        <w:t xml:space="preserve"> timeously</w:t>
      </w:r>
      <w:r w:rsidR="007F6BC4">
        <w:t xml:space="preserve"> and </w:t>
      </w:r>
      <w:r>
        <w:t xml:space="preserve">please ensure </w:t>
      </w:r>
      <w:r w:rsidR="007F6BC4">
        <w:t>that the correct motion to adjourn form is completed</w:t>
      </w:r>
      <w:r>
        <w:t>,</w:t>
      </w:r>
      <w:r w:rsidR="007F6BC4">
        <w:t xml:space="preserve"> giving</w:t>
      </w:r>
      <w:r>
        <w:t xml:space="preserve"> complete information that the form asks</w:t>
      </w:r>
      <w:r w:rsidR="007F6BC4">
        <w:t xml:space="preserve"> for and </w:t>
      </w:r>
      <w:r>
        <w:t>also please</w:t>
      </w:r>
      <w:r w:rsidR="007F6BC4">
        <w:t xml:space="preserve"> confirm position of MHO, RMO </w:t>
      </w:r>
      <w:r>
        <w:t xml:space="preserve">and </w:t>
      </w:r>
      <w:r w:rsidR="007F6BC4">
        <w:t>other parties.</w:t>
      </w:r>
    </w:p>
    <w:p w14:paraId="37825B47" w14:textId="1EF47CD3" w:rsidR="007F6BC4" w:rsidRDefault="007F6BC4" w:rsidP="007F6BC4">
      <w:pPr>
        <w:pStyle w:val="Default"/>
      </w:pPr>
    </w:p>
    <w:p w14:paraId="425A7949" w14:textId="68AD0D08" w:rsidR="00360994" w:rsidRPr="00360994" w:rsidRDefault="00360994" w:rsidP="00360994">
      <w:pPr>
        <w:pStyle w:val="Default"/>
        <w:numPr>
          <w:ilvl w:val="0"/>
          <w:numId w:val="19"/>
        </w:numPr>
        <w:spacing w:line="276" w:lineRule="auto"/>
        <w:jc w:val="both"/>
        <w:rPr>
          <w:b/>
          <w:bCs/>
        </w:rPr>
      </w:pPr>
      <w:r w:rsidRPr="00360994">
        <w:rPr>
          <w:b/>
          <w:bCs/>
        </w:rPr>
        <w:t>Assessment of capacity to instruct in MHT proceedings</w:t>
      </w:r>
    </w:p>
    <w:p w14:paraId="5EC0B8DE" w14:textId="4CC4727B" w:rsidR="00013214" w:rsidRDefault="00013214" w:rsidP="00013214">
      <w:pPr>
        <w:pStyle w:val="Default"/>
      </w:pPr>
      <w:r>
        <w:t>DH spoke to the forum re capacity to instruct. DH reiterated the importance of due diligence in this area. DH spoke about the process of the instruction of a curator in a section 50/</w:t>
      </w:r>
      <w:r w:rsidR="00BA044E">
        <w:t>100 to report when</w:t>
      </w:r>
      <w:r>
        <w:t xml:space="preserve"> a solicitor has withdrawn</w:t>
      </w:r>
      <w:r w:rsidR="00BA044E">
        <w:t xml:space="preserve"> due to the patient’s lack of capacity to instruct</w:t>
      </w:r>
      <w:r>
        <w:t xml:space="preserve">. </w:t>
      </w:r>
    </w:p>
    <w:p w14:paraId="3066C897" w14:textId="77777777" w:rsidR="00013214" w:rsidRPr="00360994" w:rsidRDefault="00013214" w:rsidP="00013214">
      <w:pPr>
        <w:pStyle w:val="Default"/>
        <w:spacing w:line="276" w:lineRule="auto"/>
        <w:jc w:val="both"/>
        <w:rPr>
          <w:b/>
          <w:bCs/>
        </w:rPr>
      </w:pPr>
    </w:p>
    <w:p w14:paraId="2707935D" w14:textId="3FC295C7" w:rsidR="00360994" w:rsidRPr="00360994" w:rsidRDefault="00360994" w:rsidP="00360994">
      <w:pPr>
        <w:pStyle w:val="Default"/>
        <w:numPr>
          <w:ilvl w:val="0"/>
          <w:numId w:val="19"/>
        </w:numPr>
        <w:spacing w:line="276" w:lineRule="auto"/>
        <w:jc w:val="both"/>
        <w:rPr>
          <w:b/>
          <w:bCs/>
        </w:rPr>
      </w:pPr>
      <w:r w:rsidRPr="00360994">
        <w:rPr>
          <w:b/>
          <w:bCs/>
        </w:rPr>
        <w:t xml:space="preserve">AOCB </w:t>
      </w:r>
    </w:p>
    <w:p w14:paraId="158EC982" w14:textId="3DB3D004" w:rsidR="00B2612D" w:rsidRDefault="00013214" w:rsidP="00013214">
      <w:pPr>
        <w:pStyle w:val="Default"/>
        <w:spacing w:line="276" w:lineRule="auto"/>
        <w:jc w:val="both"/>
        <w:rPr>
          <w:bCs/>
        </w:rPr>
      </w:pPr>
      <w:r w:rsidRPr="00013214">
        <w:rPr>
          <w:bCs/>
        </w:rPr>
        <w:t>LD informed the forum attendee</w:t>
      </w:r>
      <w:r w:rsidR="005F081A">
        <w:rPr>
          <w:bCs/>
        </w:rPr>
        <w:t>s</w:t>
      </w:r>
      <w:r w:rsidRPr="00013214">
        <w:rPr>
          <w:bCs/>
        </w:rPr>
        <w:t xml:space="preserve"> of the table of past</w:t>
      </w:r>
      <w:r w:rsidR="00BA044E">
        <w:rPr>
          <w:bCs/>
        </w:rPr>
        <w:t xml:space="preserve"> FF</w:t>
      </w:r>
      <w:r w:rsidRPr="00013214">
        <w:rPr>
          <w:bCs/>
        </w:rPr>
        <w:t>Rs on the MHTS website and spoke to the group about what is contained in there.</w:t>
      </w:r>
      <w:r w:rsidR="00922845">
        <w:rPr>
          <w:bCs/>
        </w:rPr>
        <w:t xml:space="preserve"> Please find this on our MHTS website </w:t>
      </w:r>
      <w:hyperlink r:id="rId8" w:history="1">
        <w:r w:rsidR="00922845" w:rsidRPr="00922845">
          <w:rPr>
            <w:rStyle w:val="Hyperlink"/>
            <w:bCs/>
          </w:rPr>
          <w:t>here</w:t>
        </w:r>
      </w:hyperlink>
      <w:r w:rsidR="00922845">
        <w:rPr>
          <w:bCs/>
        </w:rPr>
        <w:t>.</w:t>
      </w:r>
      <w:r w:rsidR="005F081A">
        <w:rPr>
          <w:bCs/>
        </w:rPr>
        <w:t xml:space="preserve"> An attendee spoke about how this has been a valuable source for them.</w:t>
      </w:r>
    </w:p>
    <w:p w14:paraId="57A66F4B" w14:textId="270869F0" w:rsidR="00922845" w:rsidRDefault="00922845" w:rsidP="00013214">
      <w:pPr>
        <w:pStyle w:val="Default"/>
        <w:spacing w:line="276" w:lineRule="auto"/>
        <w:jc w:val="both"/>
        <w:rPr>
          <w:bCs/>
        </w:rPr>
      </w:pPr>
    </w:p>
    <w:p w14:paraId="699F425D" w14:textId="0A16175B" w:rsidR="00922845" w:rsidRDefault="00922845" w:rsidP="00922845">
      <w:pPr>
        <w:pStyle w:val="Default"/>
        <w:spacing w:line="276" w:lineRule="auto"/>
        <w:jc w:val="both"/>
        <w:rPr>
          <w:bCs/>
        </w:rPr>
      </w:pPr>
      <w:r w:rsidRPr="00013214">
        <w:rPr>
          <w:bCs/>
        </w:rPr>
        <w:t xml:space="preserve">NA asked that wording for appeals </w:t>
      </w:r>
      <w:r w:rsidR="005F081A">
        <w:rPr>
          <w:bCs/>
        </w:rPr>
        <w:t xml:space="preserve">in section </w:t>
      </w:r>
      <w:r w:rsidRPr="00013214">
        <w:rPr>
          <w:bCs/>
        </w:rPr>
        <w:t xml:space="preserve">99/100 </w:t>
      </w:r>
      <w:r w:rsidR="005F081A">
        <w:rPr>
          <w:bCs/>
        </w:rPr>
        <w:t xml:space="preserve">applications being submitted to casework teams </w:t>
      </w:r>
      <w:r w:rsidRPr="00013214">
        <w:rPr>
          <w:bCs/>
        </w:rPr>
        <w:t xml:space="preserve">is clear and asked that it is </w:t>
      </w:r>
      <w:r w:rsidR="005F081A">
        <w:rPr>
          <w:bCs/>
        </w:rPr>
        <w:t>also m</w:t>
      </w:r>
      <w:r w:rsidRPr="00013214">
        <w:rPr>
          <w:bCs/>
        </w:rPr>
        <w:t xml:space="preserve">ade </w:t>
      </w:r>
      <w:r w:rsidR="005F081A">
        <w:rPr>
          <w:bCs/>
        </w:rPr>
        <w:t xml:space="preserve">apparent that the client is appealing either in section 99 or </w:t>
      </w:r>
      <w:r w:rsidRPr="00013214">
        <w:rPr>
          <w:bCs/>
        </w:rPr>
        <w:t>100.</w:t>
      </w:r>
    </w:p>
    <w:p w14:paraId="08D4DFED" w14:textId="1DC1DDA0" w:rsidR="00922845" w:rsidRDefault="00922845" w:rsidP="00013214">
      <w:pPr>
        <w:pStyle w:val="Default"/>
        <w:spacing w:line="276" w:lineRule="auto"/>
        <w:jc w:val="both"/>
        <w:rPr>
          <w:bCs/>
        </w:rPr>
      </w:pPr>
    </w:p>
    <w:p w14:paraId="316015EC" w14:textId="2C130BDF" w:rsidR="00922845" w:rsidRPr="004B427E" w:rsidRDefault="00922845" w:rsidP="00013214">
      <w:pPr>
        <w:pStyle w:val="Default"/>
        <w:spacing w:line="276" w:lineRule="auto"/>
        <w:jc w:val="both"/>
        <w:rPr>
          <w:b/>
          <w:bCs/>
        </w:rPr>
      </w:pPr>
      <w:r w:rsidRPr="004B427E">
        <w:rPr>
          <w:b/>
          <w:bCs/>
        </w:rPr>
        <w:t>5. Curator session</w:t>
      </w:r>
    </w:p>
    <w:p w14:paraId="71BB3277" w14:textId="358BF1DF" w:rsidR="00922845" w:rsidRDefault="00922845" w:rsidP="00013214">
      <w:pPr>
        <w:pStyle w:val="Default"/>
        <w:spacing w:line="276" w:lineRule="auto"/>
        <w:jc w:val="both"/>
        <w:rPr>
          <w:bCs/>
        </w:rPr>
      </w:pPr>
    </w:p>
    <w:p w14:paraId="54CACE8E" w14:textId="1508545C" w:rsidR="00922845" w:rsidRDefault="00922845" w:rsidP="00013214">
      <w:pPr>
        <w:pStyle w:val="Default"/>
        <w:spacing w:line="276" w:lineRule="auto"/>
        <w:jc w:val="both"/>
        <w:rPr>
          <w:bCs/>
        </w:rPr>
      </w:pPr>
      <w:r>
        <w:rPr>
          <w:bCs/>
        </w:rPr>
        <w:t>DH th</w:t>
      </w:r>
      <w:r w:rsidR="00887053">
        <w:rPr>
          <w:bCs/>
        </w:rPr>
        <w:t>anked all the curators for the</w:t>
      </w:r>
      <w:r>
        <w:rPr>
          <w:bCs/>
        </w:rPr>
        <w:t xml:space="preserve"> work that they do.</w:t>
      </w:r>
    </w:p>
    <w:p w14:paraId="3C48EAB4" w14:textId="5460CE09" w:rsidR="00922845" w:rsidRDefault="00922845" w:rsidP="00013214">
      <w:pPr>
        <w:pStyle w:val="Default"/>
        <w:spacing w:line="276" w:lineRule="auto"/>
        <w:jc w:val="both"/>
        <w:rPr>
          <w:bCs/>
        </w:rPr>
      </w:pPr>
    </w:p>
    <w:p w14:paraId="20CD1686" w14:textId="5AF97FFE" w:rsidR="00922845" w:rsidRPr="00887053" w:rsidRDefault="00922845" w:rsidP="00922845">
      <w:pPr>
        <w:pStyle w:val="Default"/>
        <w:spacing w:line="276" w:lineRule="auto"/>
        <w:ind w:left="720"/>
        <w:jc w:val="both"/>
        <w:rPr>
          <w:b/>
          <w:bCs/>
        </w:rPr>
      </w:pPr>
      <w:r w:rsidRPr="00887053">
        <w:rPr>
          <w:b/>
          <w:bCs/>
        </w:rPr>
        <w:t>(i) Updated guidance</w:t>
      </w:r>
    </w:p>
    <w:p w14:paraId="0E0E395C" w14:textId="04FD26C4" w:rsidR="00922845" w:rsidRDefault="00922845" w:rsidP="00922845">
      <w:pPr>
        <w:pStyle w:val="Default"/>
        <w:spacing w:line="276" w:lineRule="auto"/>
        <w:ind w:left="720"/>
        <w:jc w:val="both"/>
        <w:rPr>
          <w:bCs/>
        </w:rPr>
      </w:pPr>
      <w:r>
        <w:rPr>
          <w:bCs/>
        </w:rPr>
        <w:t>DH noted the highlights</w:t>
      </w:r>
      <w:r w:rsidR="00BA044E">
        <w:rPr>
          <w:bCs/>
        </w:rPr>
        <w:t xml:space="preserve"> of the new guidance are</w:t>
      </w:r>
      <w:r>
        <w:rPr>
          <w:bCs/>
        </w:rPr>
        <w:t xml:space="preserve"> –</w:t>
      </w:r>
    </w:p>
    <w:p w14:paraId="30B01A4D" w14:textId="4B37FB04" w:rsidR="00922845" w:rsidRDefault="004B427E" w:rsidP="00922845">
      <w:pPr>
        <w:pStyle w:val="Default"/>
        <w:numPr>
          <w:ilvl w:val="0"/>
          <w:numId w:val="27"/>
        </w:numPr>
        <w:spacing w:line="276" w:lineRule="auto"/>
        <w:jc w:val="both"/>
        <w:rPr>
          <w:bCs/>
        </w:rPr>
      </w:pPr>
      <w:r>
        <w:rPr>
          <w:bCs/>
        </w:rPr>
        <w:t xml:space="preserve">Curators </w:t>
      </w:r>
      <w:r w:rsidR="00922845">
        <w:rPr>
          <w:bCs/>
        </w:rPr>
        <w:t>should not conduct any ot</w:t>
      </w:r>
      <w:r>
        <w:rPr>
          <w:bCs/>
        </w:rPr>
        <w:t>her business when</w:t>
      </w:r>
      <w:r w:rsidR="00BA044E">
        <w:rPr>
          <w:bCs/>
        </w:rPr>
        <w:t xml:space="preserve"> conducting a hearing</w:t>
      </w:r>
      <w:r w:rsidR="00922845">
        <w:rPr>
          <w:bCs/>
        </w:rPr>
        <w:t xml:space="preserve"> for a patient. </w:t>
      </w:r>
    </w:p>
    <w:p w14:paraId="5C6819A7" w14:textId="4D372779" w:rsidR="00922845" w:rsidRDefault="00922845" w:rsidP="00922845">
      <w:pPr>
        <w:pStyle w:val="Default"/>
        <w:numPr>
          <w:ilvl w:val="0"/>
          <w:numId w:val="27"/>
        </w:numPr>
        <w:spacing w:line="276" w:lineRule="auto"/>
        <w:jc w:val="both"/>
        <w:rPr>
          <w:bCs/>
        </w:rPr>
      </w:pPr>
      <w:r>
        <w:rPr>
          <w:bCs/>
        </w:rPr>
        <w:t>DH noted the section on the independent instruction of a medical report.</w:t>
      </w:r>
    </w:p>
    <w:p w14:paraId="6994B408" w14:textId="7C343D4B" w:rsidR="00922845" w:rsidRDefault="00922845" w:rsidP="00922845">
      <w:pPr>
        <w:pStyle w:val="Default"/>
        <w:numPr>
          <w:ilvl w:val="0"/>
          <w:numId w:val="27"/>
        </w:numPr>
        <w:spacing w:line="276" w:lineRule="auto"/>
        <w:jc w:val="both"/>
        <w:rPr>
          <w:bCs/>
        </w:rPr>
      </w:pPr>
      <w:r>
        <w:rPr>
          <w:bCs/>
        </w:rPr>
        <w:t>The time</w:t>
      </w:r>
      <w:r w:rsidR="004B427E">
        <w:rPr>
          <w:bCs/>
        </w:rPr>
        <w:t>frame has been</w:t>
      </w:r>
      <w:r>
        <w:rPr>
          <w:bCs/>
        </w:rPr>
        <w:t xml:space="preserve"> increased from 4 calendar days to 4 working days to see a patient</w:t>
      </w:r>
      <w:r w:rsidR="004B427E">
        <w:rPr>
          <w:bCs/>
        </w:rPr>
        <w:t>.</w:t>
      </w:r>
    </w:p>
    <w:p w14:paraId="5BEFECA0" w14:textId="5AEB471C" w:rsidR="00922845" w:rsidRDefault="004B427E" w:rsidP="00922845">
      <w:pPr>
        <w:pStyle w:val="Default"/>
        <w:numPr>
          <w:ilvl w:val="0"/>
          <w:numId w:val="27"/>
        </w:numPr>
        <w:spacing w:line="276" w:lineRule="auto"/>
        <w:jc w:val="both"/>
        <w:rPr>
          <w:bCs/>
        </w:rPr>
      </w:pPr>
      <w:r>
        <w:rPr>
          <w:bCs/>
        </w:rPr>
        <w:t>New section on c</w:t>
      </w:r>
      <w:r w:rsidR="00922845">
        <w:rPr>
          <w:bCs/>
        </w:rPr>
        <w:t xml:space="preserve">urators </w:t>
      </w:r>
      <w:r>
        <w:rPr>
          <w:bCs/>
        </w:rPr>
        <w:t xml:space="preserve">appointed </w:t>
      </w:r>
      <w:r w:rsidR="00922845">
        <w:rPr>
          <w:bCs/>
        </w:rPr>
        <w:t>re section 50/100 cases.</w:t>
      </w:r>
    </w:p>
    <w:p w14:paraId="682A7475" w14:textId="77777777" w:rsidR="00922845" w:rsidRDefault="00922845" w:rsidP="00922845">
      <w:pPr>
        <w:pStyle w:val="Default"/>
        <w:spacing w:line="276" w:lineRule="auto"/>
        <w:jc w:val="both"/>
        <w:rPr>
          <w:bCs/>
        </w:rPr>
      </w:pPr>
    </w:p>
    <w:p w14:paraId="21CDEB8E" w14:textId="27DF0779" w:rsidR="00922845" w:rsidRPr="00887053" w:rsidRDefault="00887053" w:rsidP="00B0511C">
      <w:pPr>
        <w:pStyle w:val="Default"/>
        <w:spacing w:line="276" w:lineRule="auto"/>
        <w:ind w:left="720"/>
        <w:jc w:val="both"/>
        <w:rPr>
          <w:b/>
          <w:bCs/>
        </w:rPr>
      </w:pPr>
      <w:r>
        <w:rPr>
          <w:b/>
          <w:bCs/>
        </w:rPr>
        <w:t>(ii</w:t>
      </w:r>
      <w:r w:rsidR="00B0511C" w:rsidRPr="00887053">
        <w:rPr>
          <w:b/>
          <w:bCs/>
        </w:rPr>
        <w:t xml:space="preserve">) </w:t>
      </w:r>
      <w:r w:rsidR="00922845" w:rsidRPr="00887053">
        <w:rPr>
          <w:b/>
          <w:bCs/>
        </w:rPr>
        <w:t>Submission of accounts</w:t>
      </w:r>
    </w:p>
    <w:p w14:paraId="4EC9B261" w14:textId="142801C0" w:rsidR="00922845" w:rsidRDefault="00922845" w:rsidP="00B0511C">
      <w:pPr>
        <w:pStyle w:val="Default"/>
        <w:spacing w:line="276" w:lineRule="auto"/>
        <w:ind w:left="709"/>
        <w:jc w:val="both"/>
        <w:rPr>
          <w:bCs/>
        </w:rPr>
      </w:pPr>
      <w:r>
        <w:rPr>
          <w:bCs/>
        </w:rPr>
        <w:t>We have had issues</w:t>
      </w:r>
      <w:r w:rsidR="004B427E">
        <w:rPr>
          <w:bCs/>
        </w:rPr>
        <w:t xml:space="preserve"> recently</w:t>
      </w:r>
      <w:r>
        <w:rPr>
          <w:bCs/>
        </w:rPr>
        <w:t xml:space="preserve"> where </w:t>
      </w:r>
      <w:r w:rsidR="004B427E">
        <w:rPr>
          <w:bCs/>
        </w:rPr>
        <w:t xml:space="preserve">curator </w:t>
      </w:r>
      <w:r>
        <w:rPr>
          <w:bCs/>
        </w:rPr>
        <w:t xml:space="preserve">accounts </w:t>
      </w:r>
      <w:r w:rsidR="004B427E">
        <w:rPr>
          <w:bCs/>
        </w:rPr>
        <w:t>have not been</w:t>
      </w:r>
      <w:r>
        <w:rPr>
          <w:bCs/>
        </w:rPr>
        <w:t xml:space="preserve"> submitted for a long </w:t>
      </w:r>
      <w:r w:rsidR="00BA044E">
        <w:rPr>
          <w:bCs/>
        </w:rPr>
        <w:t>time and this has caused a back</w:t>
      </w:r>
      <w:r>
        <w:rPr>
          <w:bCs/>
        </w:rPr>
        <w:t>log</w:t>
      </w:r>
      <w:r w:rsidR="004B427E">
        <w:rPr>
          <w:bCs/>
        </w:rPr>
        <w:t xml:space="preserve"> in finance</w:t>
      </w:r>
      <w:r>
        <w:rPr>
          <w:bCs/>
        </w:rPr>
        <w:t>. In the new guidance, an invoice needs to be submitted within 3 months of the case being decided.</w:t>
      </w:r>
    </w:p>
    <w:p w14:paraId="5F00A9CC" w14:textId="377ED24C" w:rsidR="004B427E" w:rsidRDefault="004B427E" w:rsidP="00B0511C">
      <w:pPr>
        <w:pStyle w:val="Default"/>
        <w:spacing w:line="276" w:lineRule="auto"/>
        <w:ind w:left="709"/>
        <w:jc w:val="both"/>
        <w:rPr>
          <w:bCs/>
        </w:rPr>
      </w:pPr>
    </w:p>
    <w:p w14:paraId="175689A0" w14:textId="77777777" w:rsidR="004B427E" w:rsidRDefault="004B427E" w:rsidP="00B0511C">
      <w:pPr>
        <w:pStyle w:val="Default"/>
        <w:spacing w:line="276" w:lineRule="auto"/>
        <w:ind w:left="709"/>
        <w:jc w:val="both"/>
        <w:rPr>
          <w:bCs/>
        </w:rPr>
      </w:pPr>
    </w:p>
    <w:p w14:paraId="4D8F0131" w14:textId="5FC1D472" w:rsidR="00922845" w:rsidRPr="00922845" w:rsidRDefault="00887053" w:rsidP="00887053">
      <w:pPr>
        <w:pStyle w:val="Default"/>
        <w:spacing w:line="276" w:lineRule="auto"/>
        <w:ind w:left="709"/>
        <w:jc w:val="both"/>
        <w:rPr>
          <w:b/>
          <w:bCs/>
        </w:rPr>
      </w:pPr>
      <w:r>
        <w:rPr>
          <w:b/>
          <w:bCs/>
        </w:rPr>
        <w:lastRenderedPageBreak/>
        <w:t>(</w:t>
      </w:r>
      <w:proofErr w:type="gramStart"/>
      <w:r>
        <w:rPr>
          <w:b/>
          <w:bCs/>
        </w:rPr>
        <w:t>iii</w:t>
      </w:r>
      <w:proofErr w:type="gramEnd"/>
      <w:r>
        <w:rPr>
          <w:b/>
          <w:bCs/>
        </w:rPr>
        <w:t xml:space="preserve">) </w:t>
      </w:r>
      <w:r w:rsidR="00922845" w:rsidRPr="00922845">
        <w:rPr>
          <w:b/>
          <w:bCs/>
        </w:rPr>
        <w:t>Procedure</w:t>
      </w:r>
      <w:r w:rsidR="004B427E">
        <w:rPr>
          <w:b/>
          <w:bCs/>
        </w:rPr>
        <w:t xml:space="preserve"> re</w:t>
      </w:r>
      <w:r w:rsidR="00922845" w:rsidRPr="00922845">
        <w:rPr>
          <w:b/>
          <w:bCs/>
        </w:rPr>
        <w:t xml:space="preserve"> application where solicitor has withdrawn and curator appointed.</w:t>
      </w:r>
    </w:p>
    <w:p w14:paraId="700E0A9A" w14:textId="5C3617CD" w:rsidR="00922845" w:rsidRDefault="00B0511C" w:rsidP="00887053">
      <w:pPr>
        <w:pStyle w:val="Default"/>
        <w:spacing w:line="276" w:lineRule="auto"/>
        <w:ind w:left="709"/>
        <w:jc w:val="both"/>
        <w:rPr>
          <w:bCs/>
        </w:rPr>
      </w:pPr>
      <w:r>
        <w:rPr>
          <w:bCs/>
        </w:rPr>
        <w:t>DH explained the process in which curators are appointed in the above cases. This is on paragraph 13 of the new guidance.</w:t>
      </w:r>
    </w:p>
    <w:p w14:paraId="71481981" w14:textId="7911C8A0" w:rsidR="00887053" w:rsidRPr="00887053" w:rsidRDefault="00887053" w:rsidP="00887053">
      <w:pPr>
        <w:ind w:left="709"/>
        <w:jc w:val="both"/>
        <w:rPr>
          <w:rFonts w:ascii="Arial" w:hAnsi="Arial" w:cs="Arial"/>
          <w:bCs/>
          <w:i/>
        </w:rPr>
      </w:pPr>
      <w:r w:rsidRPr="00887053">
        <w:rPr>
          <w:rFonts w:ascii="Arial" w:hAnsi="Arial" w:cs="Arial"/>
          <w:bCs/>
          <w:i/>
        </w:rPr>
        <w:t xml:space="preserve">“13. </w:t>
      </w:r>
      <w:proofErr w:type="gramStart"/>
      <w:r w:rsidRPr="00887053">
        <w:rPr>
          <w:rFonts w:ascii="Arial" w:hAnsi="Arial" w:cs="Arial"/>
          <w:bCs/>
          <w:i/>
        </w:rPr>
        <w:t>A</w:t>
      </w:r>
      <w:proofErr w:type="gramEnd"/>
      <w:r w:rsidRPr="00887053">
        <w:rPr>
          <w:rFonts w:ascii="Arial" w:hAnsi="Arial" w:cs="Arial"/>
          <w:bCs/>
          <w:i/>
        </w:rPr>
        <w:t xml:space="preserve"> curator ad litem may be appointed in an application or appeal lodged by a patient when the patient’s solicitor has withdrawn from acting (</w:t>
      </w:r>
      <w:proofErr w:type="spellStart"/>
      <w:r w:rsidRPr="00887053">
        <w:rPr>
          <w:rFonts w:ascii="Arial" w:hAnsi="Arial" w:cs="Arial"/>
          <w:bCs/>
          <w:i/>
        </w:rPr>
        <w:t>eg</w:t>
      </w:r>
      <w:proofErr w:type="spellEnd"/>
      <w:r w:rsidRPr="00887053">
        <w:rPr>
          <w:rFonts w:ascii="Arial" w:hAnsi="Arial" w:cs="Arial"/>
          <w:bCs/>
          <w:i/>
        </w:rPr>
        <w:t xml:space="preserve"> an application lodged in terms of section 50 of the Act). Upon notice of this event the Tribunal may appoint a curator ad litem ex </w:t>
      </w:r>
      <w:proofErr w:type="spellStart"/>
      <w:r w:rsidRPr="00887053">
        <w:rPr>
          <w:rFonts w:ascii="Arial" w:hAnsi="Arial" w:cs="Arial"/>
          <w:bCs/>
          <w:i/>
        </w:rPr>
        <w:t>proprio</w:t>
      </w:r>
      <w:proofErr w:type="spellEnd"/>
      <w:r w:rsidRPr="00887053">
        <w:rPr>
          <w:rFonts w:ascii="Arial" w:hAnsi="Arial" w:cs="Arial"/>
          <w:bCs/>
          <w:i/>
        </w:rPr>
        <w:t xml:space="preserve"> </w:t>
      </w:r>
      <w:proofErr w:type="spellStart"/>
      <w:r w:rsidRPr="00887053">
        <w:rPr>
          <w:rFonts w:ascii="Arial" w:hAnsi="Arial" w:cs="Arial"/>
          <w:bCs/>
          <w:i/>
        </w:rPr>
        <w:t>motu</w:t>
      </w:r>
      <w:proofErr w:type="spellEnd"/>
      <w:r w:rsidRPr="00887053">
        <w:rPr>
          <w:rFonts w:ascii="Arial" w:hAnsi="Arial" w:cs="Arial"/>
          <w:bCs/>
          <w:i/>
        </w:rPr>
        <w:t xml:space="preserve"> solely for the purpose of determining whether the application or </w:t>
      </w:r>
      <w:proofErr w:type="gramStart"/>
      <w:r w:rsidRPr="00887053">
        <w:rPr>
          <w:rFonts w:ascii="Arial" w:hAnsi="Arial" w:cs="Arial"/>
          <w:bCs/>
          <w:i/>
        </w:rPr>
        <w:t>appeal  should</w:t>
      </w:r>
      <w:proofErr w:type="gramEnd"/>
      <w:r w:rsidRPr="00887053">
        <w:rPr>
          <w:rFonts w:ascii="Arial" w:hAnsi="Arial" w:cs="Arial"/>
          <w:bCs/>
          <w:i/>
        </w:rPr>
        <w:t xml:space="preserve"> be maintained.  Any curator ad litem appointed in such proceedings </w:t>
      </w:r>
      <w:proofErr w:type="gramStart"/>
      <w:r w:rsidRPr="00887053">
        <w:rPr>
          <w:rFonts w:ascii="Arial" w:hAnsi="Arial" w:cs="Arial"/>
          <w:bCs/>
          <w:i/>
        </w:rPr>
        <w:t>shall  provide</w:t>
      </w:r>
      <w:proofErr w:type="gramEnd"/>
      <w:r w:rsidRPr="00887053">
        <w:rPr>
          <w:rFonts w:ascii="Arial" w:hAnsi="Arial" w:cs="Arial"/>
          <w:bCs/>
          <w:i/>
        </w:rPr>
        <w:t xml:space="preserve"> the tribunal with a written report within a period set down by the Tribunal stating  whether or not the application or appeal should be maintained on the patient’s behalf. They should provide in that report information as to the patient’s level of understanding of the application, including whether the patient is expecting a hearing to take place.  In the event that the curator ad litem concludes that the application or appeal should be maintained by the patient, the curator will normally be appointed by the Tribunal to undertake the conduct of the application or appeal and should conduct the tribunal proceedings on the patient’s behalf as they consider appropriate.”   </w:t>
      </w:r>
    </w:p>
    <w:p w14:paraId="760770A8" w14:textId="77777777" w:rsidR="00887053" w:rsidRPr="00CC7B26" w:rsidRDefault="00887053" w:rsidP="00887053">
      <w:pPr>
        <w:jc w:val="both"/>
        <w:rPr>
          <w:rFonts w:ascii="Arial" w:hAnsi="Arial" w:cs="Arial"/>
          <w:bCs/>
          <w:i/>
        </w:rPr>
      </w:pPr>
      <w:r w:rsidRPr="00CC7B26">
        <w:rPr>
          <w:rFonts w:ascii="Arial" w:hAnsi="Arial" w:cs="Arial"/>
          <w:bCs/>
          <w:i/>
        </w:rPr>
        <w:t xml:space="preserve"> </w:t>
      </w:r>
    </w:p>
    <w:p w14:paraId="1E618C16" w14:textId="21354237" w:rsidR="00B0511C" w:rsidRPr="00B0511C" w:rsidRDefault="00887053" w:rsidP="00887053">
      <w:pPr>
        <w:pStyle w:val="Default"/>
        <w:spacing w:line="276" w:lineRule="auto"/>
        <w:ind w:left="720"/>
        <w:jc w:val="both"/>
        <w:rPr>
          <w:b/>
          <w:bCs/>
        </w:rPr>
      </w:pPr>
      <w:proofErr w:type="gramStart"/>
      <w:r>
        <w:rPr>
          <w:b/>
          <w:bCs/>
        </w:rPr>
        <w:t xml:space="preserve">(iv) </w:t>
      </w:r>
      <w:r w:rsidR="00B0511C" w:rsidRPr="00B0511C">
        <w:rPr>
          <w:b/>
          <w:bCs/>
        </w:rPr>
        <w:t>Personal</w:t>
      </w:r>
      <w:proofErr w:type="gramEnd"/>
      <w:r w:rsidR="00B0511C" w:rsidRPr="00B0511C">
        <w:rPr>
          <w:b/>
          <w:bCs/>
        </w:rPr>
        <w:t xml:space="preserve"> attendance at hearings</w:t>
      </w:r>
    </w:p>
    <w:p w14:paraId="10A2A516" w14:textId="1FD24B61" w:rsidR="00B0511C" w:rsidRDefault="00B0511C" w:rsidP="00887053">
      <w:pPr>
        <w:pStyle w:val="Default"/>
        <w:spacing w:line="276" w:lineRule="auto"/>
        <w:ind w:left="709"/>
        <w:jc w:val="both"/>
        <w:rPr>
          <w:bCs/>
        </w:rPr>
      </w:pPr>
      <w:r>
        <w:rPr>
          <w:bCs/>
        </w:rPr>
        <w:t xml:space="preserve">The expectation is that </w:t>
      </w:r>
      <w:r w:rsidR="004B427E">
        <w:rPr>
          <w:bCs/>
        </w:rPr>
        <w:t>curators</w:t>
      </w:r>
      <w:r>
        <w:rPr>
          <w:bCs/>
        </w:rPr>
        <w:t xml:space="preserve"> will appear</w:t>
      </w:r>
      <w:r w:rsidR="004B427E">
        <w:rPr>
          <w:bCs/>
        </w:rPr>
        <w:t xml:space="preserve"> as appointed</w:t>
      </w:r>
      <w:r>
        <w:rPr>
          <w:bCs/>
        </w:rPr>
        <w:t xml:space="preserve"> and another solicitor should not appear on your behalf.</w:t>
      </w:r>
    </w:p>
    <w:p w14:paraId="51C29840" w14:textId="3157BB4D" w:rsidR="00B0511C" w:rsidRDefault="00B0511C" w:rsidP="00922845">
      <w:pPr>
        <w:pStyle w:val="Default"/>
        <w:spacing w:line="276" w:lineRule="auto"/>
        <w:jc w:val="both"/>
        <w:rPr>
          <w:bCs/>
        </w:rPr>
      </w:pPr>
    </w:p>
    <w:p w14:paraId="0DB937FE" w14:textId="384DF177" w:rsidR="00B0511C" w:rsidRPr="00B0511C" w:rsidRDefault="00887053" w:rsidP="00887053">
      <w:pPr>
        <w:pStyle w:val="Default"/>
        <w:spacing w:line="276" w:lineRule="auto"/>
        <w:ind w:left="720"/>
        <w:jc w:val="both"/>
        <w:rPr>
          <w:b/>
          <w:bCs/>
        </w:rPr>
      </w:pPr>
      <w:r>
        <w:rPr>
          <w:b/>
          <w:bCs/>
        </w:rPr>
        <w:t xml:space="preserve">(v) </w:t>
      </w:r>
      <w:r w:rsidR="00B0511C" w:rsidRPr="00B0511C">
        <w:rPr>
          <w:b/>
          <w:bCs/>
        </w:rPr>
        <w:t>Appointments</w:t>
      </w:r>
    </w:p>
    <w:p w14:paraId="28E302FB" w14:textId="1180E92A" w:rsidR="00B0511C" w:rsidRDefault="00B0511C" w:rsidP="00887053">
      <w:pPr>
        <w:pStyle w:val="Default"/>
        <w:spacing w:line="276" w:lineRule="auto"/>
        <w:ind w:left="709"/>
        <w:jc w:val="both"/>
        <w:rPr>
          <w:bCs/>
        </w:rPr>
      </w:pPr>
      <w:r>
        <w:rPr>
          <w:bCs/>
        </w:rPr>
        <w:t>DH explained the process for the appointment of curators from the</w:t>
      </w:r>
      <w:r w:rsidR="00AC6F99">
        <w:rPr>
          <w:bCs/>
        </w:rPr>
        <w:t xml:space="preserve"> curator</w:t>
      </w:r>
      <w:r>
        <w:rPr>
          <w:bCs/>
        </w:rPr>
        <w:t xml:space="preserve"> list </w:t>
      </w:r>
      <w:r w:rsidR="00AC6F99">
        <w:rPr>
          <w:bCs/>
        </w:rPr>
        <w:t xml:space="preserve">that MHTS hold </w:t>
      </w:r>
      <w:r>
        <w:rPr>
          <w:bCs/>
        </w:rPr>
        <w:t xml:space="preserve">and how </w:t>
      </w:r>
      <w:r w:rsidR="00AC6F99">
        <w:rPr>
          <w:bCs/>
        </w:rPr>
        <w:t>casework</w:t>
      </w:r>
      <w:r>
        <w:rPr>
          <w:bCs/>
        </w:rPr>
        <w:t xml:space="preserve"> </w:t>
      </w:r>
      <w:r w:rsidR="00AC6F99">
        <w:rPr>
          <w:bCs/>
        </w:rPr>
        <w:t>appoint from thi</w:t>
      </w:r>
      <w:r>
        <w:rPr>
          <w:bCs/>
        </w:rPr>
        <w:t>s. We ask that curators have a prompt response system in place</w:t>
      </w:r>
      <w:r w:rsidR="00AC6F99">
        <w:rPr>
          <w:bCs/>
        </w:rPr>
        <w:t>,</w:t>
      </w:r>
      <w:r>
        <w:rPr>
          <w:bCs/>
        </w:rPr>
        <w:t xml:space="preserve"> as caseworkers have a quick </w:t>
      </w:r>
      <w:proofErr w:type="spellStart"/>
      <w:r>
        <w:rPr>
          <w:bCs/>
        </w:rPr>
        <w:t>turn around</w:t>
      </w:r>
      <w:proofErr w:type="spellEnd"/>
      <w:r>
        <w:rPr>
          <w:bCs/>
        </w:rPr>
        <w:t>.</w:t>
      </w:r>
    </w:p>
    <w:p w14:paraId="08E91A84" w14:textId="71AAF751" w:rsidR="00B0511C" w:rsidRDefault="00B0511C" w:rsidP="00922845">
      <w:pPr>
        <w:pStyle w:val="Default"/>
        <w:spacing w:line="276" w:lineRule="auto"/>
        <w:jc w:val="both"/>
        <w:rPr>
          <w:bCs/>
        </w:rPr>
      </w:pPr>
    </w:p>
    <w:p w14:paraId="46DED590" w14:textId="602177AE" w:rsidR="00B0511C" w:rsidRPr="00B0511C" w:rsidRDefault="00887053" w:rsidP="00887053">
      <w:pPr>
        <w:pStyle w:val="Default"/>
        <w:spacing w:line="276" w:lineRule="auto"/>
        <w:ind w:left="720"/>
        <w:jc w:val="both"/>
        <w:rPr>
          <w:b/>
          <w:bCs/>
        </w:rPr>
      </w:pPr>
      <w:proofErr w:type="gramStart"/>
      <w:r>
        <w:rPr>
          <w:b/>
          <w:bCs/>
        </w:rPr>
        <w:t>(vi) Up to date</w:t>
      </w:r>
      <w:proofErr w:type="gramEnd"/>
      <w:r>
        <w:rPr>
          <w:b/>
          <w:bCs/>
        </w:rPr>
        <w:t xml:space="preserve"> personal d</w:t>
      </w:r>
      <w:r w:rsidR="00B0511C" w:rsidRPr="00B0511C">
        <w:rPr>
          <w:b/>
          <w:bCs/>
        </w:rPr>
        <w:t>etails</w:t>
      </w:r>
    </w:p>
    <w:p w14:paraId="7E7479AE" w14:textId="109B7E6E" w:rsidR="00B0511C" w:rsidRDefault="00B0511C" w:rsidP="00887053">
      <w:pPr>
        <w:pStyle w:val="Default"/>
        <w:spacing w:line="276" w:lineRule="auto"/>
        <w:ind w:left="709"/>
        <w:jc w:val="both"/>
        <w:rPr>
          <w:bCs/>
        </w:rPr>
      </w:pPr>
      <w:r>
        <w:rPr>
          <w:bCs/>
        </w:rPr>
        <w:t>DH insisted that all personal details, email addresses and telephone numbers are all kept up to date</w:t>
      </w:r>
      <w:r w:rsidR="00887053">
        <w:rPr>
          <w:bCs/>
        </w:rPr>
        <w:t xml:space="preserve"> with the tribunal</w:t>
      </w:r>
      <w:r>
        <w:rPr>
          <w:bCs/>
        </w:rPr>
        <w:t>.</w:t>
      </w:r>
    </w:p>
    <w:p w14:paraId="1911FB5E" w14:textId="61E51399" w:rsidR="00B0511C" w:rsidRDefault="00B0511C" w:rsidP="00922845">
      <w:pPr>
        <w:pStyle w:val="Default"/>
        <w:spacing w:line="276" w:lineRule="auto"/>
        <w:jc w:val="both"/>
        <w:rPr>
          <w:bCs/>
        </w:rPr>
      </w:pPr>
    </w:p>
    <w:p w14:paraId="2C2DB53E" w14:textId="745799B9" w:rsidR="00B0511C" w:rsidRDefault="00B0511C" w:rsidP="00922845">
      <w:pPr>
        <w:pStyle w:val="Default"/>
        <w:spacing w:line="276" w:lineRule="auto"/>
        <w:jc w:val="both"/>
        <w:rPr>
          <w:bCs/>
        </w:rPr>
      </w:pPr>
      <w:r>
        <w:rPr>
          <w:bCs/>
        </w:rPr>
        <w:t>LD commended the work of curators and DH echoed those sentiments.</w:t>
      </w:r>
    </w:p>
    <w:p w14:paraId="3D5105BA" w14:textId="68559007" w:rsidR="00B0511C" w:rsidRDefault="00B0511C" w:rsidP="00922845">
      <w:pPr>
        <w:pStyle w:val="Default"/>
        <w:spacing w:line="276" w:lineRule="auto"/>
        <w:jc w:val="both"/>
        <w:rPr>
          <w:bCs/>
        </w:rPr>
      </w:pPr>
    </w:p>
    <w:p w14:paraId="3583461E" w14:textId="1185EA1F" w:rsidR="00B0511C" w:rsidRPr="00B0511C" w:rsidRDefault="00B0511C" w:rsidP="00922845">
      <w:pPr>
        <w:pStyle w:val="Default"/>
        <w:spacing w:line="276" w:lineRule="auto"/>
        <w:jc w:val="both"/>
        <w:rPr>
          <w:b/>
          <w:bCs/>
        </w:rPr>
      </w:pPr>
      <w:r>
        <w:rPr>
          <w:b/>
          <w:bCs/>
        </w:rPr>
        <w:t>6. C</w:t>
      </w:r>
      <w:r w:rsidRPr="00B0511C">
        <w:rPr>
          <w:b/>
          <w:bCs/>
        </w:rPr>
        <w:t>lose</w:t>
      </w:r>
    </w:p>
    <w:sectPr w:rsidR="00B0511C" w:rsidRPr="00B05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26B"/>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1579C"/>
    <w:multiLevelType w:val="hybridMultilevel"/>
    <w:tmpl w:val="700E5146"/>
    <w:lvl w:ilvl="0" w:tplc="2E2CC4D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F6D8F"/>
    <w:multiLevelType w:val="hybridMultilevel"/>
    <w:tmpl w:val="77FC93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001D7"/>
    <w:multiLevelType w:val="hybridMultilevel"/>
    <w:tmpl w:val="B63A7CF4"/>
    <w:lvl w:ilvl="0" w:tplc="D3445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A3FEC"/>
    <w:multiLevelType w:val="hybridMultilevel"/>
    <w:tmpl w:val="0AFE222C"/>
    <w:lvl w:ilvl="0" w:tplc="549E8E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5F3F1F"/>
    <w:multiLevelType w:val="hybridMultilevel"/>
    <w:tmpl w:val="7A04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84F03"/>
    <w:multiLevelType w:val="hybridMultilevel"/>
    <w:tmpl w:val="1ABACD92"/>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B95B6C"/>
    <w:multiLevelType w:val="hybridMultilevel"/>
    <w:tmpl w:val="06E270F0"/>
    <w:lvl w:ilvl="0" w:tplc="AA1807E6">
      <w:start w:val="1"/>
      <w:numFmt w:val="decimal"/>
      <w:lvlText w:val="%1."/>
      <w:lvlJc w:val="left"/>
      <w:pPr>
        <w:ind w:left="360" w:hanging="360"/>
      </w:pPr>
      <w:rPr>
        <w:b/>
      </w:rPr>
    </w:lvl>
    <w:lvl w:ilvl="1" w:tplc="9F38CF10">
      <w:start w:val="1"/>
      <w:numFmt w:val="lowerRoman"/>
      <w:lvlText w:val="(%2)"/>
      <w:lvlJc w:val="left"/>
      <w:pPr>
        <w:ind w:left="1070" w:hanging="360"/>
      </w:pPr>
      <w:rPr>
        <w:rFonts w:hint="default"/>
      </w:rPr>
    </w:lvl>
    <w:lvl w:ilvl="2" w:tplc="F6E41094">
      <w:numFmt w:val="bullet"/>
      <w:lvlText w:val="-"/>
      <w:lvlJc w:val="left"/>
      <w:pPr>
        <w:ind w:left="1980" w:hanging="360"/>
      </w:pPr>
      <w:rPr>
        <w:rFonts w:ascii="Arial" w:eastAsia="Times New Roman" w:hAnsi="Arial" w:cs="Arial" w:hint="default"/>
      </w:rPr>
    </w:lvl>
    <w:lvl w:ilvl="3" w:tplc="1F96210C">
      <w:start w:val="2"/>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DB7E28"/>
    <w:multiLevelType w:val="hybridMultilevel"/>
    <w:tmpl w:val="852EC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C33749"/>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25B16"/>
    <w:multiLevelType w:val="hybridMultilevel"/>
    <w:tmpl w:val="6F58E444"/>
    <w:lvl w:ilvl="0" w:tplc="38DE2E4C">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393D9B"/>
    <w:multiLevelType w:val="hybridMultilevel"/>
    <w:tmpl w:val="B6A6AD36"/>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A27B5"/>
    <w:multiLevelType w:val="hybridMultilevel"/>
    <w:tmpl w:val="2B06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0F58BA"/>
    <w:multiLevelType w:val="hybridMultilevel"/>
    <w:tmpl w:val="451C96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3070E8"/>
    <w:multiLevelType w:val="hybridMultilevel"/>
    <w:tmpl w:val="984066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FD3395"/>
    <w:multiLevelType w:val="hybridMultilevel"/>
    <w:tmpl w:val="3DA8A240"/>
    <w:lvl w:ilvl="0" w:tplc="7854A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32609E"/>
    <w:multiLevelType w:val="hybridMultilevel"/>
    <w:tmpl w:val="ED8A46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FB7BCC"/>
    <w:multiLevelType w:val="hybridMultilevel"/>
    <w:tmpl w:val="2516441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5FA74EDE"/>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C06372"/>
    <w:multiLevelType w:val="hybridMultilevel"/>
    <w:tmpl w:val="2794AE38"/>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E0968"/>
    <w:multiLevelType w:val="hybridMultilevel"/>
    <w:tmpl w:val="67DE4FB8"/>
    <w:lvl w:ilvl="0" w:tplc="55DA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94A16"/>
    <w:multiLevelType w:val="hybridMultilevel"/>
    <w:tmpl w:val="44B2B126"/>
    <w:lvl w:ilvl="0" w:tplc="A746D992">
      <w:start w:val="2"/>
      <w:numFmt w:val="lowerRoman"/>
      <w:lvlText w:val="(%1)"/>
      <w:lvlJc w:val="left"/>
      <w:pPr>
        <w:ind w:left="5760" w:hanging="720"/>
      </w:pPr>
      <w:rPr>
        <w:rFonts w:hint="default"/>
        <w:b/>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2" w15:restartNumberingAfterBreak="0">
    <w:nsid w:val="67F72B1F"/>
    <w:multiLevelType w:val="hybridMultilevel"/>
    <w:tmpl w:val="9488B070"/>
    <w:lvl w:ilvl="0" w:tplc="B77815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E53BB"/>
    <w:multiLevelType w:val="hybridMultilevel"/>
    <w:tmpl w:val="624467E4"/>
    <w:lvl w:ilvl="0" w:tplc="4F3646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DA4A1A"/>
    <w:multiLevelType w:val="hybridMultilevel"/>
    <w:tmpl w:val="9D80B5B6"/>
    <w:lvl w:ilvl="0" w:tplc="FDAC41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950095"/>
    <w:multiLevelType w:val="hybridMultilevel"/>
    <w:tmpl w:val="2794AE38"/>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F418AB"/>
    <w:multiLevelType w:val="hybridMultilevel"/>
    <w:tmpl w:val="99A86D2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3"/>
  </w:num>
  <w:num w:numId="3">
    <w:abstractNumId w:val="7"/>
  </w:num>
  <w:num w:numId="4">
    <w:abstractNumId w:val="21"/>
  </w:num>
  <w:num w:numId="5">
    <w:abstractNumId w:val="4"/>
  </w:num>
  <w:num w:numId="6">
    <w:abstractNumId w:val="3"/>
  </w:num>
  <w:num w:numId="7">
    <w:abstractNumId w:val="24"/>
  </w:num>
  <w:num w:numId="8">
    <w:abstractNumId w:val="22"/>
  </w:num>
  <w:num w:numId="9">
    <w:abstractNumId w:val="6"/>
  </w:num>
  <w:num w:numId="10">
    <w:abstractNumId w:val="15"/>
  </w:num>
  <w:num w:numId="11">
    <w:abstractNumId w:val="12"/>
  </w:num>
  <w:num w:numId="12">
    <w:abstractNumId w:val="20"/>
  </w:num>
  <w:num w:numId="13">
    <w:abstractNumId w:val="23"/>
  </w:num>
  <w:num w:numId="14">
    <w:abstractNumId w:val="1"/>
  </w:num>
  <w:num w:numId="15">
    <w:abstractNumId w:val="5"/>
  </w:num>
  <w:num w:numId="16">
    <w:abstractNumId w:val="17"/>
  </w:num>
  <w:num w:numId="17">
    <w:abstractNumId w:val="2"/>
  </w:num>
  <w:num w:numId="18">
    <w:abstractNumId w:val="26"/>
  </w:num>
  <w:num w:numId="19">
    <w:abstractNumId w:val="14"/>
  </w:num>
  <w:num w:numId="20">
    <w:abstractNumId w:val="19"/>
  </w:num>
  <w:num w:numId="21">
    <w:abstractNumId w:val="16"/>
  </w:num>
  <w:num w:numId="22">
    <w:abstractNumId w:val="9"/>
  </w:num>
  <w:num w:numId="23">
    <w:abstractNumId w:val="18"/>
  </w:num>
  <w:num w:numId="24">
    <w:abstractNumId w:val="0"/>
  </w:num>
  <w:num w:numId="25">
    <w:abstractNumId w:val="11"/>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84"/>
    <w:rsid w:val="000074E8"/>
    <w:rsid w:val="00013214"/>
    <w:rsid w:val="00013915"/>
    <w:rsid w:val="00020930"/>
    <w:rsid w:val="0003448A"/>
    <w:rsid w:val="0003568E"/>
    <w:rsid w:val="000359CF"/>
    <w:rsid w:val="00036B25"/>
    <w:rsid w:val="00050168"/>
    <w:rsid w:val="00057615"/>
    <w:rsid w:val="00063C89"/>
    <w:rsid w:val="00075B5C"/>
    <w:rsid w:val="000832E8"/>
    <w:rsid w:val="00090C70"/>
    <w:rsid w:val="000A2956"/>
    <w:rsid w:val="000A62FE"/>
    <w:rsid w:val="000A6C94"/>
    <w:rsid w:val="000A754E"/>
    <w:rsid w:val="000D1CF5"/>
    <w:rsid w:val="00112888"/>
    <w:rsid w:val="00121094"/>
    <w:rsid w:val="0012387F"/>
    <w:rsid w:val="001256D9"/>
    <w:rsid w:val="00125EE6"/>
    <w:rsid w:val="00131863"/>
    <w:rsid w:val="00135234"/>
    <w:rsid w:val="00135C34"/>
    <w:rsid w:val="00135E49"/>
    <w:rsid w:val="00140EA2"/>
    <w:rsid w:val="00143D8E"/>
    <w:rsid w:val="00146365"/>
    <w:rsid w:val="00150B3D"/>
    <w:rsid w:val="001606AE"/>
    <w:rsid w:val="0016223F"/>
    <w:rsid w:val="00164963"/>
    <w:rsid w:val="00166DE4"/>
    <w:rsid w:val="00170206"/>
    <w:rsid w:val="00170485"/>
    <w:rsid w:val="00171478"/>
    <w:rsid w:val="001A394C"/>
    <w:rsid w:val="001A5DE8"/>
    <w:rsid w:val="001B0FEF"/>
    <w:rsid w:val="001D51C9"/>
    <w:rsid w:val="001E384F"/>
    <w:rsid w:val="001F62F7"/>
    <w:rsid w:val="001F660B"/>
    <w:rsid w:val="00205DA7"/>
    <w:rsid w:val="00220BB3"/>
    <w:rsid w:val="002276F1"/>
    <w:rsid w:val="0023175C"/>
    <w:rsid w:val="00235E4A"/>
    <w:rsid w:val="00250D86"/>
    <w:rsid w:val="00252CF6"/>
    <w:rsid w:val="00257639"/>
    <w:rsid w:val="0026206E"/>
    <w:rsid w:val="002640EE"/>
    <w:rsid w:val="002767B1"/>
    <w:rsid w:val="00277917"/>
    <w:rsid w:val="002C146A"/>
    <w:rsid w:val="002C1F82"/>
    <w:rsid w:val="002D3DFE"/>
    <w:rsid w:val="002D755F"/>
    <w:rsid w:val="002E3805"/>
    <w:rsid w:val="002F0539"/>
    <w:rsid w:val="003137E4"/>
    <w:rsid w:val="003229CD"/>
    <w:rsid w:val="00323D42"/>
    <w:rsid w:val="003327F3"/>
    <w:rsid w:val="003420CB"/>
    <w:rsid w:val="003524CF"/>
    <w:rsid w:val="00357530"/>
    <w:rsid w:val="00360994"/>
    <w:rsid w:val="00366D0D"/>
    <w:rsid w:val="00371B54"/>
    <w:rsid w:val="00371C89"/>
    <w:rsid w:val="0037619B"/>
    <w:rsid w:val="003841F1"/>
    <w:rsid w:val="003A1305"/>
    <w:rsid w:val="003A1F01"/>
    <w:rsid w:val="003A39D6"/>
    <w:rsid w:val="003D3282"/>
    <w:rsid w:val="003D3671"/>
    <w:rsid w:val="003D38D1"/>
    <w:rsid w:val="003E052F"/>
    <w:rsid w:val="003E45F1"/>
    <w:rsid w:val="003E7E84"/>
    <w:rsid w:val="003F1CA5"/>
    <w:rsid w:val="00417598"/>
    <w:rsid w:val="00442FA1"/>
    <w:rsid w:val="0044434B"/>
    <w:rsid w:val="00445338"/>
    <w:rsid w:val="00450D82"/>
    <w:rsid w:val="00462F07"/>
    <w:rsid w:val="00474B9B"/>
    <w:rsid w:val="004756C1"/>
    <w:rsid w:val="00483B55"/>
    <w:rsid w:val="00485D38"/>
    <w:rsid w:val="00494EBB"/>
    <w:rsid w:val="004A2BF1"/>
    <w:rsid w:val="004A3937"/>
    <w:rsid w:val="004B02E3"/>
    <w:rsid w:val="004B0F49"/>
    <w:rsid w:val="004B427E"/>
    <w:rsid w:val="004B5797"/>
    <w:rsid w:val="004E223F"/>
    <w:rsid w:val="004E7C32"/>
    <w:rsid w:val="005036BA"/>
    <w:rsid w:val="005123E8"/>
    <w:rsid w:val="00513A20"/>
    <w:rsid w:val="00526A63"/>
    <w:rsid w:val="00540250"/>
    <w:rsid w:val="00566535"/>
    <w:rsid w:val="005726ED"/>
    <w:rsid w:val="00573DA6"/>
    <w:rsid w:val="005B0395"/>
    <w:rsid w:val="005B12ED"/>
    <w:rsid w:val="005C362F"/>
    <w:rsid w:val="005C3AF8"/>
    <w:rsid w:val="005D0548"/>
    <w:rsid w:val="005E5701"/>
    <w:rsid w:val="005E6BC7"/>
    <w:rsid w:val="005F081A"/>
    <w:rsid w:val="005F4FEE"/>
    <w:rsid w:val="00602946"/>
    <w:rsid w:val="006070E9"/>
    <w:rsid w:val="00607678"/>
    <w:rsid w:val="00607B88"/>
    <w:rsid w:val="00623AA3"/>
    <w:rsid w:val="00630D75"/>
    <w:rsid w:val="00634728"/>
    <w:rsid w:val="0066014E"/>
    <w:rsid w:val="00691275"/>
    <w:rsid w:val="006A002A"/>
    <w:rsid w:val="006A252F"/>
    <w:rsid w:val="006A34EE"/>
    <w:rsid w:val="006A5175"/>
    <w:rsid w:val="006B03DD"/>
    <w:rsid w:val="006B3FF2"/>
    <w:rsid w:val="006B61BA"/>
    <w:rsid w:val="007100A2"/>
    <w:rsid w:val="007115C7"/>
    <w:rsid w:val="007178E3"/>
    <w:rsid w:val="007270CD"/>
    <w:rsid w:val="00731C88"/>
    <w:rsid w:val="00737E27"/>
    <w:rsid w:val="00741254"/>
    <w:rsid w:val="00744C70"/>
    <w:rsid w:val="00751840"/>
    <w:rsid w:val="00751DCE"/>
    <w:rsid w:val="00762906"/>
    <w:rsid w:val="00763873"/>
    <w:rsid w:val="00763E0D"/>
    <w:rsid w:val="007729CD"/>
    <w:rsid w:val="00773A14"/>
    <w:rsid w:val="007850A7"/>
    <w:rsid w:val="007A6C99"/>
    <w:rsid w:val="007B20E2"/>
    <w:rsid w:val="007B5AC8"/>
    <w:rsid w:val="007D353A"/>
    <w:rsid w:val="007E2AAF"/>
    <w:rsid w:val="007E6C5D"/>
    <w:rsid w:val="007F312A"/>
    <w:rsid w:val="007F6BC4"/>
    <w:rsid w:val="0080152F"/>
    <w:rsid w:val="00805FC5"/>
    <w:rsid w:val="008072C8"/>
    <w:rsid w:val="008142E8"/>
    <w:rsid w:val="0082216E"/>
    <w:rsid w:val="0083518A"/>
    <w:rsid w:val="0084153F"/>
    <w:rsid w:val="008472AB"/>
    <w:rsid w:val="00857284"/>
    <w:rsid w:val="008674AC"/>
    <w:rsid w:val="008713BC"/>
    <w:rsid w:val="0088447D"/>
    <w:rsid w:val="0088544E"/>
    <w:rsid w:val="00887053"/>
    <w:rsid w:val="008972AD"/>
    <w:rsid w:val="008A47FC"/>
    <w:rsid w:val="008B51F8"/>
    <w:rsid w:val="008C0465"/>
    <w:rsid w:val="008C0C2F"/>
    <w:rsid w:val="008C5DB7"/>
    <w:rsid w:val="008D1930"/>
    <w:rsid w:val="008F151C"/>
    <w:rsid w:val="008F52D2"/>
    <w:rsid w:val="00904684"/>
    <w:rsid w:val="00906978"/>
    <w:rsid w:val="00913D3B"/>
    <w:rsid w:val="00922845"/>
    <w:rsid w:val="00925F1E"/>
    <w:rsid w:val="00933CAC"/>
    <w:rsid w:val="0094052B"/>
    <w:rsid w:val="00941A0E"/>
    <w:rsid w:val="00947FB7"/>
    <w:rsid w:val="00951CCD"/>
    <w:rsid w:val="00971CC3"/>
    <w:rsid w:val="00974B19"/>
    <w:rsid w:val="00984171"/>
    <w:rsid w:val="00985B12"/>
    <w:rsid w:val="00991164"/>
    <w:rsid w:val="00994373"/>
    <w:rsid w:val="009A613F"/>
    <w:rsid w:val="009A7CE5"/>
    <w:rsid w:val="009B33C4"/>
    <w:rsid w:val="009B6503"/>
    <w:rsid w:val="009B7D57"/>
    <w:rsid w:val="009C2D93"/>
    <w:rsid w:val="009C588D"/>
    <w:rsid w:val="009C7082"/>
    <w:rsid w:val="009C779C"/>
    <w:rsid w:val="009C7E9F"/>
    <w:rsid w:val="009D2B01"/>
    <w:rsid w:val="009D52A8"/>
    <w:rsid w:val="009D5AEA"/>
    <w:rsid w:val="009D5CAA"/>
    <w:rsid w:val="009E053D"/>
    <w:rsid w:val="009E1E51"/>
    <w:rsid w:val="009E7A60"/>
    <w:rsid w:val="009F7411"/>
    <w:rsid w:val="00A40986"/>
    <w:rsid w:val="00A44175"/>
    <w:rsid w:val="00A47E3E"/>
    <w:rsid w:val="00A52439"/>
    <w:rsid w:val="00A54CB1"/>
    <w:rsid w:val="00A707A7"/>
    <w:rsid w:val="00A90907"/>
    <w:rsid w:val="00A9363A"/>
    <w:rsid w:val="00AA13A5"/>
    <w:rsid w:val="00AB34BB"/>
    <w:rsid w:val="00AB7D8D"/>
    <w:rsid w:val="00AC2E07"/>
    <w:rsid w:val="00AC6F99"/>
    <w:rsid w:val="00AD5047"/>
    <w:rsid w:val="00AD5524"/>
    <w:rsid w:val="00AD5EC4"/>
    <w:rsid w:val="00B02E98"/>
    <w:rsid w:val="00B034BC"/>
    <w:rsid w:val="00B0511C"/>
    <w:rsid w:val="00B06A18"/>
    <w:rsid w:val="00B06D8F"/>
    <w:rsid w:val="00B10745"/>
    <w:rsid w:val="00B15961"/>
    <w:rsid w:val="00B2612D"/>
    <w:rsid w:val="00B266A6"/>
    <w:rsid w:val="00B313C6"/>
    <w:rsid w:val="00B35EB9"/>
    <w:rsid w:val="00B4434D"/>
    <w:rsid w:val="00B463C1"/>
    <w:rsid w:val="00B52F89"/>
    <w:rsid w:val="00B601C8"/>
    <w:rsid w:val="00B75FB2"/>
    <w:rsid w:val="00B93D13"/>
    <w:rsid w:val="00BA044E"/>
    <w:rsid w:val="00BA1564"/>
    <w:rsid w:val="00BA35A1"/>
    <w:rsid w:val="00BA40E1"/>
    <w:rsid w:val="00BA625F"/>
    <w:rsid w:val="00BB2032"/>
    <w:rsid w:val="00BB234F"/>
    <w:rsid w:val="00BB4E13"/>
    <w:rsid w:val="00BC58EF"/>
    <w:rsid w:val="00BC5A0B"/>
    <w:rsid w:val="00BD1F9D"/>
    <w:rsid w:val="00BE0C46"/>
    <w:rsid w:val="00C30C92"/>
    <w:rsid w:val="00C33EF9"/>
    <w:rsid w:val="00C3634D"/>
    <w:rsid w:val="00C54A32"/>
    <w:rsid w:val="00C563EA"/>
    <w:rsid w:val="00C65018"/>
    <w:rsid w:val="00C72A14"/>
    <w:rsid w:val="00C86051"/>
    <w:rsid w:val="00CA2100"/>
    <w:rsid w:val="00CA274E"/>
    <w:rsid w:val="00CB083D"/>
    <w:rsid w:val="00CB2810"/>
    <w:rsid w:val="00CB6488"/>
    <w:rsid w:val="00CC2793"/>
    <w:rsid w:val="00CC280D"/>
    <w:rsid w:val="00CC4973"/>
    <w:rsid w:val="00CC5585"/>
    <w:rsid w:val="00CD191B"/>
    <w:rsid w:val="00CF0CC0"/>
    <w:rsid w:val="00D02912"/>
    <w:rsid w:val="00D163DB"/>
    <w:rsid w:val="00D21DED"/>
    <w:rsid w:val="00D36518"/>
    <w:rsid w:val="00D36F1B"/>
    <w:rsid w:val="00D479E3"/>
    <w:rsid w:val="00D5097D"/>
    <w:rsid w:val="00D5268B"/>
    <w:rsid w:val="00D539C6"/>
    <w:rsid w:val="00D600AF"/>
    <w:rsid w:val="00D65280"/>
    <w:rsid w:val="00D65290"/>
    <w:rsid w:val="00D65E3A"/>
    <w:rsid w:val="00D84C83"/>
    <w:rsid w:val="00D94CB5"/>
    <w:rsid w:val="00DB28D1"/>
    <w:rsid w:val="00DB68DB"/>
    <w:rsid w:val="00DC4C4E"/>
    <w:rsid w:val="00DC4D80"/>
    <w:rsid w:val="00DC739D"/>
    <w:rsid w:val="00DD5F11"/>
    <w:rsid w:val="00DE7CBE"/>
    <w:rsid w:val="00DF4DF7"/>
    <w:rsid w:val="00DF76D7"/>
    <w:rsid w:val="00E0138A"/>
    <w:rsid w:val="00E01590"/>
    <w:rsid w:val="00E13D97"/>
    <w:rsid w:val="00E155D5"/>
    <w:rsid w:val="00E20171"/>
    <w:rsid w:val="00E20286"/>
    <w:rsid w:val="00E202E9"/>
    <w:rsid w:val="00E21B4C"/>
    <w:rsid w:val="00E41C9E"/>
    <w:rsid w:val="00E46C0D"/>
    <w:rsid w:val="00E56B39"/>
    <w:rsid w:val="00E641FE"/>
    <w:rsid w:val="00E8097F"/>
    <w:rsid w:val="00E82744"/>
    <w:rsid w:val="00E9390E"/>
    <w:rsid w:val="00EA2F45"/>
    <w:rsid w:val="00EB07BB"/>
    <w:rsid w:val="00EB3767"/>
    <w:rsid w:val="00EB40E5"/>
    <w:rsid w:val="00EB4AA9"/>
    <w:rsid w:val="00EB59E7"/>
    <w:rsid w:val="00EB6BD5"/>
    <w:rsid w:val="00EC6897"/>
    <w:rsid w:val="00EC7BA6"/>
    <w:rsid w:val="00ED7A9F"/>
    <w:rsid w:val="00EE5E37"/>
    <w:rsid w:val="00EF649A"/>
    <w:rsid w:val="00EF758A"/>
    <w:rsid w:val="00F062A9"/>
    <w:rsid w:val="00F07438"/>
    <w:rsid w:val="00F22B4D"/>
    <w:rsid w:val="00F25872"/>
    <w:rsid w:val="00F50662"/>
    <w:rsid w:val="00F54955"/>
    <w:rsid w:val="00F648C5"/>
    <w:rsid w:val="00F7539C"/>
    <w:rsid w:val="00F7638E"/>
    <w:rsid w:val="00F8679A"/>
    <w:rsid w:val="00F963E0"/>
    <w:rsid w:val="00F979FB"/>
    <w:rsid w:val="00FA483E"/>
    <w:rsid w:val="00FA7A2C"/>
    <w:rsid w:val="00FA7E26"/>
    <w:rsid w:val="00FB1ED0"/>
    <w:rsid w:val="00FB50A1"/>
    <w:rsid w:val="00FD6185"/>
    <w:rsid w:val="00FF2638"/>
    <w:rsid w:val="00FF32AB"/>
    <w:rsid w:val="00FF5484"/>
    <w:rsid w:val="00FF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090E"/>
  <w15:chartTrackingRefBased/>
  <w15:docId w15:val="{D4E8351F-59F7-4462-80F2-16CDB0A8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E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649A"/>
    <w:pPr>
      <w:ind w:left="720"/>
      <w:contextualSpacing/>
    </w:pPr>
  </w:style>
  <w:style w:type="paragraph" w:customStyle="1" w:styleId="msolistparagraph0">
    <w:name w:val="msolistparagraph"/>
    <w:basedOn w:val="Normal"/>
    <w:rsid w:val="00090C70"/>
    <w:pPr>
      <w:ind w:left="720"/>
    </w:pPr>
    <w:rPr>
      <w:rFonts w:ascii="Calibri" w:hAnsi="Calibri"/>
      <w:sz w:val="22"/>
      <w:szCs w:val="22"/>
    </w:rPr>
  </w:style>
  <w:style w:type="character" w:styleId="Hyperlink">
    <w:name w:val="Hyperlink"/>
    <w:basedOn w:val="DefaultParagraphFont"/>
    <w:uiPriority w:val="99"/>
    <w:unhideWhenUsed/>
    <w:rsid w:val="00DE7CBE"/>
    <w:rPr>
      <w:color w:val="0563C1" w:themeColor="hyperlink"/>
      <w:u w:val="single"/>
    </w:rPr>
  </w:style>
  <w:style w:type="paragraph" w:styleId="BalloonText">
    <w:name w:val="Balloon Text"/>
    <w:basedOn w:val="Normal"/>
    <w:link w:val="BalloonTextChar"/>
    <w:uiPriority w:val="99"/>
    <w:semiHidden/>
    <w:unhideWhenUsed/>
    <w:rsid w:val="0095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C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51CCD"/>
    <w:rPr>
      <w:sz w:val="16"/>
      <w:szCs w:val="16"/>
    </w:rPr>
  </w:style>
  <w:style w:type="paragraph" w:styleId="CommentText">
    <w:name w:val="annotation text"/>
    <w:basedOn w:val="Normal"/>
    <w:link w:val="CommentTextChar"/>
    <w:uiPriority w:val="99"/>
    <w:semiHidden/>
    <w:unhideWhenUsed/>
    <w:rsid w:val="00951CCD"/>
    <w:rPr>
      <w:sz w:val="20"/>
      <w:szCs w:val="20"/>
    </w:rPr>
  </w:style>
  <w:style w:type="character" w:customStyle="1" w:styleId="CommentTextChar">
    <w:name w:val="Comment Text Char"/>
    <w:basedOn w:val="DefaultParagraphFont"/>
    <w:link w:val="CommentText"/>
    <w:uiPriority w:val="99"/>
    <w:semiHidden/>
    <w:rsid w:val="00951C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1CCD"/>
    <w:rPr>
      <w:b/>
      <w:bCs/>
    </w:rPr>
  </w:style>
  <w:style w:type="character" w:customStyle="1" w:styleId="CommentSubjectChar">
    <w:name w:val="Comment Subject Char"/>
    <w:basedOn w:val="CommentTextChar"/>
    <w:link w:val="CommentSubject"/>
    <w:uiPriority w:val="99"/>
    <w:semiHidden/>
    <w:rsid w:val="00951CCD"/>
    <w:rPr>
      <w:rFonts w:ascii="Times New Roman" w:eastAsia="Times New Roman" w:hAnsi="Times New Roman" w:cs="Times New Roman"/>
      <w:b/>
      <w:bCs/>
      <w:sz w:val="20"/>
      <w:szCs w:val="20"/>
      <w:lang w:eastAsia="en-GB"/>
    </w:rPr>
  </w:style>
  <w:style w:type="paragraph" w:styleId="Revision">
    <w:name w:val="Revision"/>
    <w:hidden/>
    <w:uiPriority w:val="99"/>
    <w:semiHidden/>
    <w:rsid w:val="00D65280"/>
    <w:pPr>
      <w:spacing w:after="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4A393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A3937"/>
    <w:rPr>
      <w:rFonts w:ascii="Calibri" w:hAnsi="Calibri"/>
      <w:szCs w:val="21"/>
    </w:rPr>
  </w:style>
  <w:style w:type="character" w:styleId="FollowedHyperlink">
    <w:name w:val="FollowedHyperlink"/>
    <w:basedOn w:val="DefaultParagraphFont"/>
    <w:uiPriority w:val="99"/>
    <w:semiHidden/>
    <w:unhideWhenUsed/>
    <w:rsid w:val="00D21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34605">
      <w:bodyDiv w:val="1"/>
      <w:marLeft w:val="0"/>
      <w:marRight w:val="0"/>
      <w:marTop w:val="0"/>
      <w:marBottom w:val="0"/>
      <w:divBdr>
        <w:top w:val="none" w:sz="0" w:space="0" w:color="auto"/>
        <w:left w:val="none" w:sz="0" w:space="0" w:color="auto"/>
        <w:bottom w:val="none" w:sz="0" w:space="0" w:color="auto"/>
        <w:right w:val="none" w:sz="0" w:space="0" w:color="auto"/>
      </w:divBdr>
    </w:div>
    <w:div w:id="1772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tscotland.gov.uk/mhts/Legislation_and_Caselaw/Legislation_and_Caselaw" TargetMode="External"/><Relationship Id="rId3" Type="http://schemas.openxmlformats.org/officeDocument/2006/relationships/styles" Target="styles.xml"/><Relationship Id="rId7" Type="http://schemas.openxmlformats.org/officeDocument/2006/relationships/hyperlink" Target="https://www.mhtscotland.gov.uk/mhts/files/MHTS_hearings_type_leafletV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htscotland.gov.uk/mhts/News/New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F64A-4DB4-43C7-AEA5-50B26A93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Jenna</dc:creator>
  <cp:keywords/>
  <dc:description/>
  <cp:lastModifiedBy>Blythe, Scott</cp:lastModifiedBy>
  <cp:revision>3</cp:revision>
  <dcterms:created xsi:type="dcterms:W3CDTF">2024-06-20T19:51:00Z</dcterms:created>
  <dcterms:modified xsi:type="dcterms:W3CDTF">2024-07-08T14:58:00Z</dcterms:modified>
</cp:coreProperties>
</file>